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E9C7" w14:textId="6DA2F172" w:rsidR="0026331D" w:rsidRDefault="0026331D" w:rsidP="00470BB8">
      <w:pPr>
        <w:jc w:val="center"/>
        <w:rPr>
          <w:b/>
          <w:bCs/>
          <w:sz w:val="32"/>
          <w:szCs w:val="32"/>
        </w:rPr>
      </w:pPr>
      <w:r>
        <w:rPr>
          <w:b/>
          <w:bCs/>
          <w:noProof/>
          <w:sz w:val="32"/>
          <w:szCs w:val="32"/>
        </w:rPr>
        <w:drawing>
          <wp:inline distT="0" distB="0" distL="0" distR="0" wp14:anchorId="1F159AAD" wp14:editId="0D86A1C6">
            <wp:extent cx="6676927" cy="1348740"/>
            <wp:effectExtent l="0" t="0" r="0" b="3810"/>
            <wp:docPr id="1179354465" name="Picture 1"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54465" name="Picture 1" descr="A blue and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84579" cy="1350286"/>
                    </a:xfrm>
                    <a:prstGeom prst="rect">
                      <a:avLst/>
                    </a:prstGeom>
                  </pic:spPr>
                </pic:pic>
              </a:graphicData>
            </a:graphic>
          </wp:inline>
        </w:drawing>
      </w:r>
    </w:p>
    <w:p w14:paraId="1DFAF2DF" w14:textId="4444D6A6" w:rsidR="00766B7D" w:rsidRDefault="0026331D" w:rsidP="00470BB8">
      <w:pPr>
        <w:jc w:val="center"/>
        <w:rPr>
          <w:b/>
          <w:bCs/>
          <w:sz w:val="32"/>
          <w:szCs w:val="32"/>
        </w:rPr>
      </w:pPr>
      <w:r>
        <w:rPr>
          <w:b/>
          <w:bCs/>
          <w:sz w:val="32"/>
          <w:szCs w:val="32"/>
        </w:rPr>
        <w:t xml:space="preserve">2024 </w:t>
      </w:r>
      <w:r w:rsidR="00470BB8">
        <w:rPr>
          <w:b/>
          <w:bCs/>
          <w:sz w:val="32"/>
          <w:szCs w:val="32"/>
        </w:rPr>
        <w:t>NYGIC End of Session Legislative Update</w:t>
      </w:r>
    </w:p>
    <w:p w14:paraId="6307C869" w14:textId="73CD8A4B" w:rsidR="00F42E84" w:rsidRDefault="00F42E84" w:rsidP="00470BB8">
      <w:pPr>
        <w:jc w:val="center"/>
        <w:rPr>
          <w:b/>
          <w:bCs/>
          <w:sz w:val="32"/>
          <w:szCs w:val="32"/>
        </w:rPr>
      </w:pPr>
      <w:proofErr w:type="gramStart"/>
      <w:r>
        <w:rPr>
          <w:b/>
          <w:bCs/>
          <w:sz w:val="32"/>
          <w:szCs w:val="32"/>
        </w:rPr>
        <w:t>July,</w:t>
      </w:r>
      <w:proofErr w:type="gramEnd"/>
      <w:r>
        <w:rPr>
          <w:b/>
          <w:bCs/>
          <w:sz w:val="32"/>
          <w:szCs w:val="32"/>
        </w:rPr>
        <w:t xml:space="preserve"> 2024</w:t>
      </w:r>
    </w:p>
    <w:p w14:paraId="7D7AABB5" w14:textId="04CB29FC" w:rsidR="0026331D" w:rsidRPr="0026331D" w:rsidRDefault="0026331D" w:rsidP="0026331D">
      <w:pPr>
        <w:pStyle w:val="NormalWeb"/>
        <w:rPr>
          <w:rStyle w:val="Hyperlink"/>
          <w:rFonts w:asciiTheme="minorHAnsi" w:eastAsiaTheme="majorEastAsia" w:hAnsiTheme="minorHAnsi"/>
          <w:color w:val="auto"/>
          <w:sz w:val="22"/>
          <w:szCs w:val="22"/>
          <w:u w:val="none"/>
        </w:rPr>
      </w:pPr>
      <w:r w:rsidRPr="0026331D">
        <w:rPr>
          <w:rFonts w:asciiTheme="minorHAnsi" w:eastAsiaTheme="majorEastAsia" w:hAnsiTheme="minorHAnsi"/>
          <w:sz w:val="22"/>
          <w:szCs w:val="22"/>
        </w:rPr>
        <w:t>On June 8th, Albany lawmakers concluded their legislative session amid uncertainty caused by Governor Kathy Hochul’s unexpected decision to indefinitely halt congestion pricing in Manhattan. This move left a significant $15 billion gap in the Metropolitan Transportation Authority’s current capital plan. While the legislature didn’t approve the governor’s proposed solutions (a new tax or an IOU for MTA funding), they did pass numerous other bills. Notably, 489 out of 805 bills passed during the final week of the session. Some key measures include groundbreaking social media regulations for children, an extensive expansion of red-light cameras in New York City, and a new fee on polluters to support climate mitigation efforts</w:t>
      </w:r>
      <w:r w:rsidRPr="0026331D">
        <w:rPr>
          <w:rFonts w:asciiTheme="minorHAnsi" w:hAnsiTheme="minorHAnsi"/>
          <w:sz w:val="22"/>
          <w:szCs w:val="22"/>
        </w:rPr>
        <w:t>. </w:t>
      </w:r>
      <w:r w:rsidR="0051738E" w:rsidRPr="0026331D">
        <w:rPr>
          <w:rStyle w:val="Hyperlink"/>
          <w:rFonts w:asciiTheme="minorHAnsi" w:eastAsiaTheme="majorEastAsia" w:hAnsiTheme="minorHAnsi"/>
          <w:color w:val="auto"/>
          <w:sz w:val="22"/>
          <w:szCs w:val="22"/>
          <w:u w:val="none"/>
        </w:rPr>
        <w:t xml:space="preserve"> </w:t>
      </w:r>
    </w:p>
    <w:p w14:paraId="661A2B40" w14:textId="37858F37" w:rsidR="0026331D" w:rsidRPr="0051738E" w:rsidRDefault="0026331D" w:rsidP="0026331D">
      <w:r w:rsidRPr="009C2489">
        <w:t xml:space="preserve">There is potential for a special session to be called before regular session for 2025-2026 begins in January if lawmakers need to find ways to address the massive fiscal deficit left in the MTA’s operating budget and debt obligations due to indefinite suspension of the congestion pricing program. </w:t>
      </w:r>
      <w:r>
        <w:t>A</w:t>
      </w:r>
      <w:r w:rsidRPr="009C2489">
        <w:t xml:space="preserve"> Primary Election </w:t>
      </w:r>
      <w:r>
        <w:t xml:space="preserve">was held </w:t>
      </w:r>
      <w:r w:rsidRPr="009C2489">
        <w:t>on June 25</w:t>
      </w:r>
      <w:r w:rsidRPr="009C2489">
        <w:rPr>
          <w:vertAlign w:val="superscript"/>
        </w:rPr>
        <w:t>th</w:t>
      </w:r>
      <w:r w:rsidRPr="009C2489">
        <w:t xml:space="preserve"> </w:t>
      </w:r>
      <w:r w:rsidR="001A0947" w:rsidRPr="001A0947">
        <w:t>and the outcome certainly favored the incumbents with all legislators being up</w:t>
      </w:r>
      <w:r w:rsidRPr="009C2489">
        <w:t xml:space="preserve"> </w:t>
      </w:r>
      <w:r w:rsidRPr="0051738E">
        <w:t>for re-election on November 5</w:t>
      </w:r>
      <w:r w:rsidRPr="0051738E">
        <w:rPr>
          <w:vertAlign w:val="superscript"/>
        </w:rPr>
        <w:t>th</w:t>
      </w:r>
      <w:r w:rsidRPr="0051738E">
        <w:t xml:space="preserve">. There are a significant number of legislators that will be retiring or not running again for office, which means more new faces and more education on our </w:t>
      </w:r>
      <w:proofErr w:type="gramStart"/>
      <w:r w:rsidRPr="0051738E">
        <w:t>issues</w:t>
      </w:r>
      <w:proofErr w:type="gramEnd"/>
      <w:r w:rsidRPr="0051738E">
        <w:t xml:space="preserve"> next session. </w:t>
      </w:r>
      <w:r w:rsidR="0051738E">
        <w:t>In addition, changes at the federal level will undoubtedly</w:t>
      </w:r>
      <w:r w:rsidR="00F120DB">
        <w:t xml:space="preserve"> have an</w:t>
      </w:r>
      <w:r w:rsidR="0051738E">
        <w:t xml:space="preserve"> impact </w:t>
      </w:r>
      <w:r w:rsidR="00F120DB">
        <w:t xml:space="preserve">on </w:t>
      </w:r>
      <w:r w:rsidR="0051738E">
        <w:t>New York State.</w:t>
      </w:r>
    </w:p>
    <w:p w14:paraId="1D860FFF" w14:textId="6B710015" w:rsidR="0051738E" w:rsidRDefault="0026331D" w:rsidP="0051738E">
      <w:pPr>
        <w:pStyle w:val="NormalWeb"/>
        <w:rPr>
          <w:rFonts w:asciiTheme="minorHAnsi" w:eastAsiaTheme="majorEastAsia" w:hAnsiTheme="minorHAnsi"/>
          <w:sz w:val="22"/>
          <w:szCs w:val="22"/>
        </w:rPr>
      </w:pPr>
      <w:r w:rsidRPr="0051738E">
        <w:rPr>
          <w:rFonts w:asciiTheme="minorHAnsi" w:hAnsiTheme="minorHAnsi"/>
          <w:sz w:val="22"/>
          <w:szCs w:val="22"/>
        </w:rPr>
        <w:t xml:space="preserve">There were several environmental issues that were </w:t>
      </w:r>
      <w:r w:rsidR="0051738E" w:rsidRPr="0051738E">
        <w:rPr>
          <w:rFonts w:asciiTheme="minorHAnsi" w:hAnsiTheme="minorHAnsi"/>
          <w:sz w:val="22"/>
          <w:szCs w:val="22"/>
        </w:rPr>
        <w:t xml:space="preserve">under consideration right up to the end of session including a bill to reduce the prevalence of plastic packaging, which passed the Senate but died in the Assembly; </w:t>
      </w:r>
      <w:r w:rsidR="0051738E" w:rsidRPr="0051738E">
        <w:rPr>
          <w:rFonts w:asciiTheme="minorHAnsi" w:eastAsiaTheme="majorEastAsia" w:hAnsiTheme="minorHAnsi"/>
          <w:sz w:val="22"/>
          <w:szCs w:val="22"/>
        </w:rPr>
        <w:t>the Climate Change Superfund Act received a vote in the Assembly for the first time, addressing environmental concerns; and an expansion of the Bottle Bill to increase the deposit to 10 cents and expand the law to include wine and liquor bottles, which, despite a major push from the environmentalists, failed to pass.</w:t>
      </w:r>
    </w:p>
    <w:p w14:paraId="29B7EA12" w14:textId="719A532F" w:rsidR="00D51F18" w:rsidRPr="00DC1669" w:rsidRDefault="009C1897" w:rsidP="00D51F18">
      <w:r>
        <w:rPr>
          <w:rFonts w:eastAsiaTheme="majorEastAsia"/>
        </w:rPr>
        <w:t>The Session was quite eventful on many fronts</w:t>
      </w:r>
      <w:r w:rsidR="00C426A7">
        <w:rPr>
          <w:rFonts w:eastAsiaTheme="majorEastAsia"/>
        </w:rPr>
        <w:t xml:space="preserve">. </w:t>
      </w:r>
      <w:r w:rsidR="002B4B8A">
        <w:rPr>
          <w:rFonts w:eastAsiaTheme="majorEastAsia"/>
        </w:rPr>
        <w:t>Most notably, w</w:t>
      </w:r>
      <w:r w:rsidR="00F42E84">
        <w:rPr>
          <w:rFonts w:eastAsiaTheme="majorEastAsia"/>
        </w:rPr>
        <w:t xml:space="preserve">e </w:t>
      </w:r>
      <w:r w:rsidR="002B4B8A">
        <w:rPr>
          <w:rFonts w:eastAsiaTheme="majorEastAsia"/>
        </w:rPr>
        <w:t>were</w:t>
      </w:r>
      <w:r w:rsidR="00F42E84">
        <w:rPr>
          <w:rFonts w:eastAsiaTheme="majorEastAsia"/>
        </w:rPr>
        <w:t xml:space="preserve"> </w:t>
      </w:r>
      <w:r w:rsidR="008E3BFF">
        <w:rPr>
          <w:rFonts w:eastAsiaTheme="majorEastAsia"/>
        </w:rPr>
        <w:t xml:space="preserve">successfully </w:t>
      </w:r>
      <w:r w:rsidR="002B4B8A">
        <w:rPr>
          <w:rFonts w:eastAsiaTheme="majorEastAsia"/>
        </w:rPr>
        <w:t>in securing</w:t>
      </w:r>
      <w:r w:rsidR="00B076C3">
        <w:rPr>
          <w:rFonts w:eastAsiaTheme="majorEastAsia"/>
        </w:rPr>
        <w:t xml:space="preserve"> $200,000 for the Turfgrass Environmental Stewardship Fund</w:t>
      </w:r>
      <w:r w:rsidR="00D77A6E">
        <w:rPr>
          <w:rFonts w:eastAsiaTheme="majorEastAsia"/>
        </w:rPr>
        <w:t xml:space="preserve"> in the NYS Budget</w:t>
      </w:r>
      <w:r w:rsidR="00B076C3">
        <w:rPr>
          <w:rFonts w:eastAsiaTheme="majorEastAsia"/>
        </w:rPr>
        <w:t>.</w:t>
      </w:r>
      <w:r w:rsidR="00D77A6E">
        <w:rPr>
          <w:rFonts w:eastAsiaTheme="majorEastAsia"/>
        </w:rPr>
        <w:t xml:space="preserve"> </w:t>
      </w:r>
      <w:r w:rsidR="006675B2">
        <w:rPr>
          <w:rFonts w:eastAsiaTheme="majorEastAsia"/>
        </w:rPr>
        <w:t xml:space="preserve">NYGIC fought hard for this money to be restored </w:t>
      </w:r>
      <w:r w:rsidR="00B7609B">
        <w:rPr>
          <w:rFonts w:eastAsiaTheme="majorEastAsia"/>
        </w:rPr>
        <w:t xml:space="preserve">and increased </w:t>
      </w:r>
      <w:r w:rsidR="006675B2">
        <w:rPr>
          <w:rFonts w:eastAsiaTheme="majorEastAsia"/>
        </w:rPr>
        <w:t>in the Budget</w:t>
      </w:r>
      <w:r w:rsidR="008E3BFF">
        <w:rPr>
          <w:rFonts w:eastAsiaTheme="majorEastAsia"/>
        </w:rPr>
        <w:t xml:space="preserve">, and it was a primary focus of the NYS Turfgrass Association Lobby Day </w:t>
      </w:r>
      <w:r w:rsidR="00460206">
        <w:rPr>
          <w:rFonts w:eastAsiaTheme="majorEastAsia"/>
        </w:rPr>
        <w:t>o</w:t>
      </w:r>
      <w:r w:rsidR="008E3BFF">
        <w:rPr>
          <w:rFonts w:eastAsiaTheme="majorEastAsia"/>
        </w:rPr>
        <w:t xml:space="preserve">n </w:t>
      </w:r>
      <w:r w:rsidR="00460206">
        <w:rPr>
          <w:rFonts w:eastAsiaTheme="majorEastAsia"/>
        </w:rPr>
        <w:t>March 4rh</w:t>
      </w:r>
      <w:r w:rsidR="008E3BFF">
        <w:rPr>
          <w:rFonts w:eastAsiaTheme="majorEastAsia"/>
        </w:rPr>
        <w:t xml:space="preserve">. </w:t>
      </w:r>
      <w:r w:rsidR="00D51F18" w:rsidRPr="00FA7DFA">
        <w:t xml:space="preserve">This year’s Lobby Day was very well attended by a cross-section of industry partners. Senator Bill Weber, representing Rockland County was the </w:t>
      </w:r>
      <w:r w:rsidR="00D51F18" w:rsidRPr="00DC1669">
        <w:t xml:space="preserve">guest speaker. Senator Weber is an accountant and principal in a company based in New Jersey that owns a golf course </w:t>
      </w:r>
      <w:proofErr w:type="gramStart"/>
      <w:r w:rsidR="00D51F18" w:rsidRPr="00DC1669">
        <w:t>and also</w:t>
      </w:r>
      <w:proofErr w:type="gramEnd"/>
      <w:r w:rsidR="00D51F18" w:rsidRPr="00DC1669">
        <w:t xml:space="preserve"> develops golf courses.  Going forward he would like to continue to work with the green industry to support our efforts. </w:t>
      </w:r>
    </w:p>
    <w:p w14:paraId="51BC2F5E" w14:textId="588027FB" w:rsidR="005C22E7" w:rsidRDefault="009A144D" w:rsidP="00D25E2A">
      <w:pPr>
        <w:spacing w:before="100" w:beforeAutospacing="1" w:after="100" w:afterAutospacing="1"/>
      </w:pPr>
      <w:r>
        <w:t xml:space="preserve">There were </w:t>
      </w:r>
      <w:r w:rsidR="009F529C">
        <w:t>some changes in leadership and committee chairs in the legislature</w:t>
      </w:r>
      <w:r w:rsidR="001D4EAE">
        <w:t xml:space="preserve"> that we navigated throughout the session</w:t>
      </w:r>
      <w:r w:rsidR="009F529C">
        <w:t xml:space="preserve">, as well as a change in leadership </w:t>
      </w:r>
      <w:proofErr w:type="gramStart"/>
      <w:r w:rsidR="009F529C">
        <w:t>at</w:t>
      </w:r>
      <w:proofErr w:type="gramEnd"/>
      <w:r w:rsidR="009F529C">
        <w:t xml:space="preserve"> DEC. </w:t>
      </w:r>
      <w:r w:rsidR="0003134C">
        <w:t xml:space="preserve">In February, </w:t>
      </w:r>
      <w:r w:rsidR="00977A31">
        <w:t xml:space="preserve">NYS DEC Commissioner, Basil </w:t>
      </w:r>
      <w:proofErr w:type="spellStart"/>
      <w:r w:rsidR="00977A31">
        <w:t>Seggos</w:t>
      </w:r>
      <w:proofErr w:type="spellEnd"/>
      <w:r w:rsidR="00977A31">
        <w:t xml:space="preserve"> announced his departure</w:t>
      </w:r>
      <w:r w:rsidR="00982ACF">
        <w:t>. NYGIC had a very good relationship with him</w:t>
      </w:r>
      <w:r w:rsidR="0003134C">
        <w:t xml:space="preserve">. He and </w:t>
      </w:r>
      <w:r w:rsidR="003D116D">
        <w:t xml:space="preserve">his colleagues </w:t>
      </w:r>
      <w:proofErr w:type="gramStart"/>
      <w:r w:rsidR="003D116D">
        <w:t>at</w:t>
      </w:r>
      <w:proofErr w:type="gramEnd"/>
      <w:r w:rsidR="003D116D">
        <w:t xml:space="preserve"> DEC were</w:t>
      </w:r>
      <w:r w:rsidR="00982ACF" w:rsidRPr="003D116D">
        <w:t xml:space="preserve"> </w:t>
      </w:r>
      <w:r w:rsidR="00381127" w:rsidRPr="003D116D">
        <w:t>helpful to us</w:t>
      </w:r>
      <w:r w:rsidR="00381127">
        <w:t xml:space="preserve"> </w:t>
      </w:r>
      <w:r w:rsidR="001B7B6D">
        <w:t xml:space="preserve">and we felt we had an open door with the Department. </w:t>
      </w:r>
      <w:r w:rsidR="00DA2CEC">
        <w:t>His departure will be a loss, but we are confident that we will build a relationship with his replacement</w:t>
      </w:r>
      <w:r w:rsidR="002F5E21">
        <w:t xml:space="preserve"> and continue to have an open dialogue with them.</w:t>
      </w:r>
      <w:r w:rsidR="00B7609B">
        <w:t xml:space="preserve"> </w:t>
      </w:r>
      <w:r w:rsidR="00B7609B" w:rsidRPr="00B7609B">
        <w:t>We will continue in our outreach efforts to executive level staff in the Department.</w:t>
      </w:r>
    </w:p>
    <w:p w14:paraId="38FB7F8F" w14:textId="4453E111" w:rsidR="002F5E21" w:rsidRPr="00EF3272" w:rsidRDefault="002F5E21" w:rsidP="002F5E21">
      <w:pPr>
        <w:spacing w:before="100" w:beforeAutospacing="1" w:after="100" w:afterAutospacing="1"/>
      </w:pPr>
      <w:r w:rsidRPr="00EF3272">
        <w:t xml:space="preserve">We </w:t>
      </w:r>
      <w:r w:rsidR="006D6509">
        <w:t xml:space="preserve">also advanced discussions and cultivated relationships with the golf course </w:t>
      </w:r>
      <w:r w:rsidR="007F5992">
        <w:t>industry, with whom we have many issues in common</w:t>
      </w:r>
      <w:r w:rsidR="00735BCB">
        <w:t xml:space="preserve">. </w:t>
      </w:r>
      <w:r w:rsidR="00361ACB">
        <w:t xml:space="preserve">Specifically, we had many conversations and strategy sessions with the Capital District Golf </w:t>
      </w:r>
      <w:r w:rsidR="00276724">
        <w:t xml:space="preserve">Club </w:t>
      </w:r>
      <w:r w:rsidR="00361ACB">
        <w:t>Association</w:t>
      </w:r>
      <w:r w:rsidR="00A533DC">
        <w:t xml:space="preserve">. </w:t>
      </w:r>
      <w:r w:rsidRPr="00EF3272">
        <w:t xml:space="preserve"> The local association now has all the capital district private clubs as members.  </w:t>
      </w:r>
      <w:r w:rsidR="00A533DC">
        <w:t>The g</w:t>
      </w:r>
      <w:r w:rsidRPr="00EF3272">
        <w:t xml:space="preserve">oal going forward will be to educate </w:t>
      </w:r>
      <w:r w:rsidRPr="00EF3272">
        <w:lastRenderedPageBreak/>
        <w:t xml:space="preserve">the club </w:t>
      </w:r>
      <w:r w:rsidR="00A533DC">
        <w:t>B</w:t>
      </w:r>
      <w:r w:rsidRPr="00EF3272">
        <w:t>oards</w:t>
      </w:r>
      <w:r w:rsidR="00A533DC">
        <w:t xml:space="preserve"> of Directors</w:t>
      </w:r>
      <w:r w:rsidRPr="00EF3272">
        <w:t xml:space="preserve"> in hopes of enlisting members to weigh in from a grassroots perspective on important issues affecting golf, turf and landscaping.</w:t>
      </w:r>
    </w:p>
    <w:p w14:paraId="0B40D14A" w14:textId="27596D7A" w:rsidR="00D25E2A" w:rsidRPr="00EE72BE" w:rsidRDefault="006B3D36" w:rsidP="00D25E2A">
      <w:pPr>
        <w:spacing w:before="100" w:beforeAutospacing="1" w:after="100" w:afterAutospacing="1"/>
      </w:pPr>
      <w:r>
        <w:t xml:space="preserve">Together we can lend our expertise and support to each other </w:t>
      </w:r>
      <w:r w:rsidR="00981043">
        <w:t xml:space="preserve">and create a larger, more powerful voice on legislative, regulatory, and industry </w:t>
      </w:r>
      <w:r w:rsidR="009B73C9">
        <w:t>issues and opportunities</w:t>
      </w:r>
      <w:r w:rsidR="00996EFA">
        <w:t xml:space="preserve"> t</w:t>
      </w:r>
      <w:r w:rsidR="00E06816">
        <w:t xml:space="preserve">hat advance our education, outreach, and communication with a broader </w:t>
      </w:r>
      <w:r w:rsidR="009934D4">
        <w:t>group of industry organizations</w:t>
      </w:r>
      <w:r w:rsidR="009D3B1A">
        <w:t xml:space="preserve">.  </w:t>
      </w:r>
      <w:r w:rsidR="00D963F5" w:rsidRPr="00EE72BE">
        <w:t xml:space="preserve">Our coordinated approach </w:t>
      </w:r>
      <w:r w:rsidR="00CD2925" w:rsidRPr="00EE72BE">
        <w:t xml:space="preserve">gives us more credibility and standing. </w:t>
      </w:r>
      <w:r w:rsidR="009D3B1A" w:rsidRPr="00EE72BE">
        <w:t>One such example, i</w:t>
      </w:r>
      <w:r w:rsidR="00D25E2A" w:rsidRPr="00EE72BE">
        <w:t xml:space="preserve">n April, the New York State Pollution Prevention Institute (P2I) released a </w:t>
      </w:r>
      <w:hyperlink r:id="rId6" w:history="1">
        <w:r w:rsidR="00D25E2A" w:rsidRPr="00EE72BE">
          <w:rPr>
            <w:rStyle w:val="Hyperlink"/>
          </w:rPr>
          <w:t>Golf Course Sustainability Workbook</w:t>
        </w:r>
      </w:hyperlink>
      <w:r w:rsidR="00D25E2A" w:rsidRPr="00EE72BE">
        <w:t xml:space="preserve"> in conjunction with Cornell University’s Turfgrass Science Program</w:t>
      </w:r>
      <w:r w:rsidR="00490100" w:rsidRPr="00EE72BE">
        <w:t xml:space="preserve"> in the College of Agriculture and Life Sciences,</w:t>
      </w:r>
      <w:r w:rsidR="00D25E2A" w:rsidRPr="00EE72BE">
        <w:t xml:space="preserve"> to help golf courses in New York State become more sustainable in their everyday operations. </w:t>
      </w:r>
      <w:r w:rsidR="00490100" w:rsidRPr="00EE72BE">
        <w:t xml:space="preserve">The goal was </w:t>
      </w:r>
      <w:r w:rsidR="00D25E2A" w:rsidRPr="00EE72BE">
        <w:t>to provide a guide for golf courses to adopt sustainable best management practices that prevent and reduce pollution while minimizing environmental impact. Focusing on several key sustainability best management practices, the workbook is divided into the following categories:</w:t>
      </w:r>
      <w:r w:rsidR="00D25E2A" w:rsidRPr="00EE72BE">
        <w:rPr>
          <w:rFonts w:ascii="Arial" w:hAnsi="Arial" w:cs="Arial"/>
        </w:rPr>
        <w:t>  </w:t>
      </w:r>
      <w:r w:rsidR="00D25E2A" w:rsidRPr="00EE72BE">
        <w:rPr>
          <w:rFonts w:ascii="Aptos" w:hAnsi="Aptos" w:cs="Aptos"/>
        </w:rPr>
        <w:t> </w:t>
      </w:r>
    </w:p>
    <w:p w14:paraId="50A9C55F" w14:textId="77777777" w:rsidR="00D25E2A" w:rsidRPr="00EE72BE" w:rsidRDefault="00D25E2A" w:rsidP="00D25E2A">
      <w:pPr>
        <w:numPr>
          <w:ilvl w:val="0"/>
          <w:numId w:val="2"/>
        </w:numPr>
        <w:spacing w:before="100" w:beforeAutospacing="1" w:after="100" w:afterAutospacing="1"/>
      </w:pPr>
      <w:r w:rsidRPr="00EE72BE">
        <w:t>Water Use </w:t>
      </w:r>
    </w:p>
    <w:p w14:paraId="1C059DEA" w14:textId="77777777" w:rsidR="00D25E2A" w:rsidRPr="00EE72BE" w:rsidRDefault="00D25E2A" w:rsidP="00D25E2A">
      <w:pPr>
        <w:numPr>
          <w:ilvl w:val="0"/>
          <w:numId w:val="2"/>
        </w:numPr>
        <w:spacing w:before="100" w:beforeAutospacing="1" w:after="100" w:afterAutospacing="1"/>
      </w:pPr>
      <w:r w:rsidRPr="00EE72BE">
        <w:t>Fertilizer Use</w:t>
      </w:r>
      <w:r w:rsidRPr="00EE72BE">
        <w:rPr>
          <w:rFonts w:ascii="Arial" w:hAnsi="Arial" w:cs="Arial"/>
        </w:rPr>
        <w:t> </w:t>
      </w:r>
      <w:r w:rsidRPr="00EE72BE">
        <w:t>(nutrient management)</w:t>
      </w:r>
    </w:p>
    <w:p w14:paraId="1E87C9AA" w14:textId="77777777" w:rsidR="00D25E2A" w:rsidRPr="00EE72BE" w:rsidRDefault="00D25E2A" w:rsidP="00D25E2A">
      <w:pPr>
        <w:numPr>
          <w:ilvl w:val="0"/>
          <w:numId w:val="2"/>
        </w:numPr>
        <w:spacing w:before="100" w:beforeAutospacing="1" w:after="100" w:afterAutospacing="1"/>
      </w:pPr>
      <w:r w:rsidRPr="00EE72BE">
        <w:t>Pest Management</w:t>
      </w:r>
      <w:r w:rsidRPr="00EE72BE">
        <w:rPr>
          <w:rFonts w:ascii="Arial" w:hAnsi="Arial" w:cs="Arial"/>
        </w:rPr>
        <w:t> </w:t>
      </w:r>
    </w:p>
    <w:p w14:paraId="2D7E6276" w14:textId="77777777" w:rsidR="00EE72BE" w:rsidRPr="00EE72BE" w:rsidRDefault="00D25E2A" w:rsidP="008501BD">
      <w:pPr>
        <w:numPr>
          <w:ilvl w:val="0"/>
          <w:numId w:val="2"/>
        </w:numPr>
        <w:spacing w:before="100" w:beforeAutospacing="1" w:after="100" w:afterAutospacing="1"/>
      </w:pPr>
      <w:r w:rsidRPr="00EE72BE">
        <w:t>Waste and Pollution</w:t>
      </w:r>
    </w:p>
    <w:p w14:paraId="70403DE1" w14:textId="649416A4" w:rsidR="00470BB8" w:rsidRPr="00460206" w:rsidRDefault="000F450B" w:rsidP="00EE72BE">
      <w:pPr>
        <w:spacing w:before="100" w:beforeAutospacing="1" w:after="100" w:afterAutospacing="1"/>
        <w:rPr>
          <w:highlight w:val="yellow"/>
        </w:rPr>
      </w:pPr>
      <w:r>
        <w:t xml:space="preserve">NYGIC and its lobbyist, The Vandervort Group, </w:t>
      </w:r>
      <w:r w:rsidR="008501BD">
        <w:t>faced</w:t>
      </w:r>
      <w:r>
        <w:t xml:space="preserve"> several pieces of legislation that required our </w:t>
      </w:r>
      <w:r w:rsidR="008501BD">
        <w:t xml:space="preserve">input this session. </w:t>
      </w:r>
      <w:r w:rsidR="0026331D">
        <w:t xml:space="preserve">Here </w:t>
      </w:r>
      <w:r w:rsidR="00470BB8">
        <w:t xml:space="preserve">is a list of </w:t>
      </w:r>
      <w:r w:rsidR="0026331D">
        <w:t>the most burdensome</w:t>
      </w:r>
      <w:r w:rsidR="00D24415">
        <w:t xml:space="preserve"> </w:t>
      </w:r>
      <w:r w:rsidR="00470BB8">
        <w:t xml:space="preserve">bills that </w:t>
      </w:r>
      <w:r w:rsidR="0026331D">
        <w:t>were addressed</w:t>
      </w:r>
      <w:r w:rsidR="00470BB8">
        <w:t xml:space="preserve"> during</w:t>
      </w:r>
      <w:r w:rsidR="005D4659">
        <w:t xml:space="preserve"> </w:t>
      </w:r>
      <w:proofErr w:type="gramStart"/>
      <w:r w:rsidR="005D4659">
        <w:t>session</w:t>
      </w:r>
      <w:proofErr w:type="gramEnd"/>
      <w:r w:rsidR="005D4659">
        <w:t>, and into</w:t>
      </w:r>
      <w:r w:rsidR="00470BB8">
        <w:t xml:space="preserve"> the final days of the Legislative Session.</w:t>
      </w:r>
    </w:p>
    <w:p w14:paraId="5072057D" w14:textId="77777777" w:rsidR="00364101" w:rsidRDefault="00364101" w:rsidP="00470BB8">
      <w:pPr>
        <w:rPr>
          <w:b/>
          <w:bCs/>
          <w:sz w:val="28"/>
          <w:szCs w:val="28"/>
        </w:rPr>
      </w:pPr>
    </w:p>
    <w:p w14:paraId="00EDF7B0" w14:textId="08CD8B9F" w:rsidR="00470BB8" w:rsidRPr="001A6911" w:rsidRDefault="00470BB8" w:rsidP="00470BB8">
      <w:pPr>
        <w:rPr>
          <w:b/>
          <w:bCs/>
          <w:sz w:val="28"/>
          <w:szCs w:val="28"/>
        </w:rPr>
      </w:pPr>
      <w:r w:rsidRPr="001A6911">
        <w:rPr>
          <w:b/>
          <w:bCs/>
          <w:sz w:val="28"/>
          <w:szCs w:val="28"/>
        </w:rPr>
        <w:t>The TEMP Act</w:t>
      </w:r>
      <w:r w:rsidR="00436615" w:rsidRPr="001A6911">
        <w:rPr>
          <w:b/>
          <w:bCs/>
          <w:sz w:val="28"/>
          <w:szCs w:val="28"/>
        </w:rPr>
        <w:t xml:space="preserve"> [Temperature Extreme Mitigation Act]</w:t>
      </w:r>
    </w:p>
    <w:p w14:paraId="19C8008A" w14:textId="39FC6738" w:rsidR="00470BB8" w:rsidRPr="00470BB8" w:rsidRDefault="00470BB8" w:rsidP="00470BB8">
      <w:r w:rsidRPr="00470BB8">
        <w:rPr>
          <w:b/>
          <w:bCs/>
        </w:rPr>
        <w:t>S.1604-F / A.8935-C (Ramos / Bronson)</w:t>
      </w:r>
      <w:r w:rsidRPr="00470BB8">
        <w:rPr>
          <w:b/>
          <w:bCs/>
        </w:rPr>
        <w:br/>
        <w:t>Final St</w:t>
      </w:r>
      <w:r>
        <w:rPr>
          <w:b/>
          <w:bCs/>
        </w:rPr>
        <w:t xml:space="preserve">atus: </w:t>
      </w:r>
      <w:r>
        <w:t xml:space="preserve">The bill did </w:t>
      </w:r>
      <w:r w:rsidRPr="00470BB8">
        <w:rPr>
          <w:b/>
          <w:bCs/>
        </w:rPr>
        <w:t>not</w:t>
      </w:r>
      <w:r>
        <w:t xml:space="preserve"> pass the Senate or Assembly. The Senate bill is in the Senate Finance Committee and the Assembly bill is in the Ways and Means C</w:t>
      </w:r>
      <w:r w:rsidR="004E1724">
        <w:t>ommittee</w:t>
      </w:r>
    </w:p>
    <w:p w14:paraId="7169D1B4" w14:textId="2D64E4FB" w:rsidR="00436615" w:rsidRDefault="00470BB8" w:rsidP="00470BB8">
      <w:pPr>
        <w:rPr>
          <w:rFonts w:eastAsia="Times New Roman"/>
          <w:color w:val="000000"/>
        </w:rPr>
      </w:pPr>
      <w:r>
        <w:rPr>
          <w:rFonts w:eastAsia="Times New Roman"/>
          <w:color w:val="000000"/>
        </w:rPr>
        <w:t xml:space="preserve">This bill would have regulated both indoor and outdoor worksites </w:t>
      </w:r>
      <w:r w:rsidR="00436615">
        <w:rPr>
          <w:rFonts w:eastAsia="Times New Roman"/>
          <w:color w:val="000000"/>
        </w:rPr>
        <w:t>with high</w:t>
      </w:r>
      <w:r>
        <w:rPr>
          <w:rFonts w:eastAsia="Times New Roman"/>
          <w:color w:val="000000"/>
        </w:rPr>
        <w:t xml:space="preserve"> temperature protection standards, </w:t>
      </w:r>
      <w:r w:rsidR="00436615">
        <w:rPr>
          <w:rFonts w:eastAsia="Times New Roman"/>
          <w:color w:val="000000"/>
        </w:rPr>
        <w:t>as well as</w:t>
      </w:r>
      <w:r>
        <w:rPr>
          <w:rFonts w:eastAsia="Times New Roman"/>
          <w:color w:val="000000"/>
        </w:rPr>
        <w:t xml:space="preserve"> educational requirements, training, and reporting</w:t>
      </w:r>
      <w:r w:rsidR="00436615">
        <w:rPr>
          <w:rFonts w:eastAsia="Times New Roman"/>
          <w:color w:val="000000"/>
        </w:rPr>
        <w:t xml:space="preserve"> when workers are exposed to extreme temperatures due to climate change.</w:t>
      </w:r>
    </w:p>
    <w:p w14:paraId="0D93D9F9" w14:textId="18EE00F7" w:rsidR="00436615" w:rsidRDefault="00436615" w:rsidP="00436615">
      <w:pPr>
        <w:pStyle w:val="ListParagraph"/>
        <w:numPr>
          <w:ilvl w:val="0"/>
          <w:numId w:val="1"/>
        </w:numPr>
        <w:rPr>
          <w:rFonts w:eastAsia="Times New Roman"/>
          <w:color w:val="000000"/>
        </w:rPr>
      </w:pPr>
      <w:r>
        <w:rPr>
          <w:rFonts w:eastAsia="Times New Roman"/>
          <w:color w:val="000000"/>
        </w:rPr>
        <w:t>Covered industries include agriculture, construction, landscaping, car wash services, commercial shipping, food service, and warehousing.</w:t>
      </w:r>
    </w:p>
    <w:p w14:paraId="2565E6DA" w14:textId="181E6987" w:rsidR="00436615" w:rsidRDefault="00436615" w:rsidP="00436615">
      <w:pPr>
        <w:pStyle w:val="ListParagraph"/>
        <w:numPr>
          <w:ilvl w:val="0"/>
          <w:numId w:val="1"/>
        </w:numPr>
        <w:rPr>
          <w:rFonts w:eastAsia="Times New Roman"/>
          <w:color w:val="000000"/>
        </w:rPr>
      </w:pPr>
      <w:r>
        <w:rPr>
          <w:rFonts w:eastAsia="Times New Roman"/>
          <w:color w:val="000000"/>
        </w:rPr>
        <w:t>Heat-specific standards – Employers would be responsible for fulfilling the requirements for workers at indoor and outdoor worksites when the temperature reaches or exceeds 80 degrees.</w:t>
      </w:r>
    </w:p>
    <w:p w14:paraId="158686F2" w14:textId="2A5D3791" w:rsidR="00436615" w:rsidRPr="00AA0712" w:rsidRDefault="00436615" w:rsidP="0043661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14:ligatures w14:val="none"/>
        </w:rPr>
      </w:pPr>
      <w:r w:rsidRPr="00436615">
        <w:rPr>
          <w:rFonts w:eastAsia="Times New Roman"/>
          <w:color w:val="000000"/>
        </w:rPr>
        <w:t xml:space="preserve">Training – The NYS Department of Labor would </w:t>
      </w:r>
      <w:r>
        <w:rPr>
          <w:rFonts w:eastAsia="Times New Roman"/>
          <w:color w:val="000000"/>
        </w:rPr>
        <w:t>be required to c</w:t>
      </w:r>
      <w:r w:rsidRPr="00436615">
        <w:rPr>
          <w:rFonts w:eastAsia="Times New Roman"/>
          <w:color w:val="000000"/>
        </w:rPr>
        <w:t xml:space="preserve">reate a training curriculum </w:t>
      </w:r>
      <w:r w:rsidRPr="00AA0712">
        <w:rPr>
          <w:rFonts w:eastAsia="Times New Roman" w:cs="Courier New"/>
          <w:color w:val="000000"/>
          <w:kern w:val="0"/>
          <w14:ligatures w14:val="none"/>
        </w:rPr>
        <w:t xml:space="preserve">outlining the signs of heat illness and the necessary medical responses that employers would provide to </w:t>
      </w:r>
      <w:proofErr w:type="gramStart"/>
      <w:r w:rsidRPr="00AA0712">
        <w:rPr>
          <w:rFonts w:eastAsia="Times New Roman" w:cs="Courier New"/>
          <w:color w:val="000000"/>
          <w:kern w:val="0"/>
          <w14:ligatures w14:val="none"/>
        </w:rPr>
        <w:t>its</w:t>
      </w:r>
      <w:proofErr w:type="gramEnd"/>
      <w:r w:rsidRPr="00AA0712">
        <w:rPr>
          <w:rFonts w:eastAsia="Times New Roman" w:cs="Courier New"/>
          <w:color w:val="000000"/>
          <w:kern w:val="0"/>
          <w14:ligatures w14:val="none"/>
        </w:rPr>
        <w:t xml:space="preserve"> employees at the time of hire. </w:t>
      </w:r>
    </w:p>
    <w:p w14:paraId="33854E61" w14:textId="1B17AC61" w:rsidR="00436615" w:rsidRPr="00AA0712" w:rsidRDefault="00436615" w:rsidP="0043661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14:ligatures w14:val="none"/>
        </w:rPr>
      </w:pPr>
      <w:r w:rsidRPr="00AA0712">
        <w:rPr>
          <w:rFonts w:eastAsia="Times New Roman" w:cs="Courier New"/>
          <w:color w:val="000000"/>
          <w:kern w:val="0"/>
          <w14:ligatures w14:val="none"/>
        </w:rPr>
        <w:t>Signs and educational materials would also be provided by the Department of Labor</w:t>
      </w:r>
      <w:r w:rsidR="00AA0712" w:rsidRPr="00AA0712">
        <w:rPr>
          <w:rFonts w:eastAsia="Times New Roman" w:cs="Courier New"/>
          <w:color w:val="000000"/>
          <w:kern w:val="0"/>
          <w14:ligatures w14:val="none"/>
        </w:rPr>
        <w:t xml:space="preserve"> to be made available to employees in 12 most common languages in the state.</w:t>
      </w:r>
    </w:p>
    <w:p w14:paraId="0FC6F2D4" w14:textId="7AC10F42" w:rsidR="00AA0712" w:rsidRPr="00AA0712" w:rsidRDefault="00AA0712" w:rsidP="00CE658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14:ligatures w14:val="none"/>
        </w:rPr>
      </w:pPr>
      <w:r w:rsidRPr="00AA0712">
        <w:rPr>
          <w:rFonts w:eastAsia="Times New Roman" w:cs="Courier New"/>
          <w:color w:val="000000"/>
          <w:kern w:val="0"/>
          <w14:ligatures w14:val="none"/>
        </w:rPr>
        <w:t>The Department of Labor would also create a statewide outreach campaign to educate employees on the heat illness standards established and ensure that employers are providing access to proper signage and materials.</w:t>
      </w:r>
    </w:p>
    <w:p w14:paraId="1859A4DB" w14:textId="20EAB781" w:rsidR="00436615" w:rsidRPr="00AA0712" w:rsidRDefault="00436615" w:rsidP="0043661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14:ligatures w14:val="none"/>
        </w:rPr>
      </w:pPr>
      <w:r w:rsidRPr="00AA0712">
        <w:rPr>
          <w:rFonts w:eastAsia="Times New Roman" w:cs="Courier New"/>
          <w:color w:val="000000"/>
          <w:kern w:val="0"/>
          <w14:ligatures w14:val="none"/>
        </w:rPr>
        <w:t>Unlawful retaliation</w:t>
      </w:r>
      <w:r w:rsidR="00AA0712" w:rsidRPr="00AA0712">
        <w:rPr>
          <w:rFonts w:eastAsia="Times New Roman" w:cs="Courier New"/>
          <w:color w:val="000000"/>
          <w:kern w:val="0"/>
          <w14:ligatures w14:val="none"/>
        </w:rPr>
        <w:t xml:space="preserve"> if an employer discriminates, retaliates, or takes any adverse action to an employee who makes a complaint.</w:t>
      </w:r>
    </w:p>
    <w:p w14:paraId="5F9C4281" w14:textId="77777777" w:rsidR="00AA0712" w:rsidRPr="00AA0712" w:rsidRDefault="00AA0712" w:rsidP="0043661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14:ligatures w14:val="none"/>
        </w:rPr>
      </w:pPr>
      <w:r w:rsidRPr="00AA0712">
        <w:rPr>
          <w:rFonts w:eastAsia="Times New Roman" w:cs="Courier New"/>
          <w:color w:val="000000"/>
          <w:kern w:val="0"/>
          <w14:ligatures w14:val="none"/>
        </w:rPr>
        <w:t>Employers would be responsible for establishing, maintaining, and preserving records for 3 years on all heat related illnesses and fatalities that occur.</w:t>
      </w:r>
    </w:p>
    <w:p w14:paraId="42161D15" w14:textId="2E92C6D4" w:rsidR="00436615" w:rsidRPr="00AA0712" w:rsidRDefault="00AA0712" w:rsidP="0043661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14:ligatures w14:val="none"/>
        </w:rPr>
      </w:pPr>
      <w:r w:rsidRPr="00AA0712">
        <w:rPr>
          <w:rFonts w:eastAsia="Times New Roman" w:cs="Courier New"/>
          <w:color w:val="000000"/>
          <w:kern w:val="0"/>
          <w14:ligatures w14:val="none"/>
        </w:rPr>
        <w:t xml:space="preserve">Employers would be responsible for developing a written plan distributed to each employee on how heat-related stress will be mitigated. </w:t>
      </w:r>
      <w:r w:rsidR="00436615" w:rsidRPr="00AA0712">
        <w:rPr>
          <w:rFonts w:eastAsia="Times New Roman" w:cs="Courier New"/>
          <w:color w:val="000000"/>
          <w:kern w:val="0"/>
          <w14:ligatures w14:val="none"/>
        </w:rPr>
        <w:t xml:space="preserve"> </w:t>
      </w:r>
    </w:p>
    <w:p w14:paraId="3EBBBC54" w14:textId="64D6ACAC" w:rsidR="00AA0712" w:rsidRPr="00AA0712" w:rsidRDefault="00AA0712" w:rsidP="0043661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kern w:val="0"/>
          <w14:ligatures w14:val="none"/>
        </w:rPr>
      </w:pPr>
      <w:r w:rsidRPr="00AA0712">
        <w:rPr>
          <w:rFonts w:eastAsia="Times New Roman" w:cs="Courier New"/>
          <w:color w:val="000000"/>
          <w:kern w:val="0"/>
          <w14:ligatures w14:val="none"/>
        </w:rPr>
        <w:t>Employers would be required to pay penalties of at least $50 per day for failing to implement such a standard.</w:t>
      </w:r>
    </w:p>
    <w:p w14:paraId="65E09E80" w14:textId="6F5F8F9F" w:rsidR="00436615" w:rsidRPr="00436615" w:rsidRDefault="00AA0712" w:rsidP="00436615">
      <w:pPr>
        <w:pStyle w:val="ListParagraph"/>
        <w:numPr>
          <w:ilvl w:val="0"/>
          <w:numId w:val="1"/>
        </w:numPr>
        <w:rPr>
          <w:rFonts w:eastAsia="Times New Roman"/>
          <w:color w:val="000000"/>
        </w:rPr>
      </w:pPr>
      <w:r>
        <w:rPr>
          <w:rFonts w:eastAsia="Times New Roman"/>
          <w:color w:val="000000"/>
        </w:rPr>
        <w:t>A worker hotline would be established by the Department where employees can file complaints plus any other reporting or enforcement protocols necessary to ensure the protection of workers.</w:t>
      </w:r>
    </w:p>
    <w:p w14:paraId="37B958DD" w14:textId="77777777" w:rsidR="00364101" w:rsidRDefault="00364101" w:rsidP="00470BB8">
      <w:pPr>
        <w:rPr>
          <w:rFonts w:eastAsia="Times New Roman"/>
          <w:b/>
          <w:bCs/>
          <w:color w:val="000000"/>
        </w:rPr>
      </w:pPr>
    </w:p>
    <w:p w14:paraId="7BF7F6B7" w14:textId="41496520" w:rsidR="00D24415" w:rsidRPr="00EE362E" w:rsidRDefault="00D24415" w:rsidP="00470BB8">
      <w:pPr>
        <w:rPr>
          <w:rFonts w:eastAsia="Times New Roman"/>
          <w:b/>
          <w:bCs/>
          <w:color w:val="000000"/>
        </w:rPr>
      </w:pPr>
      <w:r w:rsidRPr="00EE362E">
        <w:rPr>
          <w:rFonts w:eastAsia="Times New Roman"/>
          <w:b/>
          <w:bCs/>
          <w:color w:val="000000"/>
        </w:rPr>
        <w:t>NYGIC Comments:</w:t>
      </w:r>
    </w:p>
    <w:p w14:paraId="5ED4F324" w14:textId="77777777" w:rsidR="00EE362E" w:rsidRPr="001A6911" w:rsidRDefault="00EE362E" w:rsidP="00EE362E">
      <w:pPr>
        <w:rPr>
          <w:rFonts w:eastAsia="Times New Roman"/>
          <w:color w:val="000000"/>
        </w:rPr>
      </w:pPr>
      <w:r w:rsidRPr="001A6911">
        <w:rPr>
          <w:rFonts w:eastAsia="Times New Roman"/>
          <w:color w:val="000000"/>
        </w:rPr>
        <w:t>The New York State Assembly wanted triggers for cold weather policies, which the Senate did not agree with. The threshold for "cold weather" policies was set at 60 degrees.</w:t>
      </w:r>
    </w:p>
    <w:p w14:paraId="0E5BF982" w14:textId="1EC14B21" w:rsidR="00436615" w:rsidRDefault="00AA0712" w:rsidP="00470BB8">
      <w:pPr>
        <w:rPr>
          <w:rFonts w:eastAsia="Times New Roman"/>
          <w:color w:val="000000"/>
        </w:rPr>
      </w:pPr>
      <w:r>
        <w:rPr>
          <w:rFonts w:eastAsia="Times New Roman"/>
          <w:color w:val="000000"/>
        </w:rPr>
        <w:t xml:space="preserve">Most employers already have actions and reactions as well as policies </w:t>
      </w:r>
      <w:r w:rsidR="001A6911">
        <w:rPr>
          <w:rFonts w:eastAsia="Times New Roman"/>
          <w:color w:val="000000"/>
        </w:rPr>
        <w:t xml:space="preserve">in place for heat related conditions. </w:t>
      </w:r>
    </w:p>
    <w:p w14:paraId="69F71EDB" w14:textId="2C0EE42B" w:rsidR="006D5583" w:rsidRDefault="006D5583" w:rsidP="006D5583">
      <w:pPr>
        <w:spacing w:before="100" w:beforeAutospacing="1" w:after="100" w:afterAutospacing="1"/>
      </w:pPr>
      <w:r>
        <w:t>NYGIC was part of a coordinated</w:t>
      </w:r>
      <w:r w:rsidRPr="00171FC1">
        <w:t xml:space="preserve"> coalition of business organizations</w:t>
      </w:r>
      <w:r>
        <w:t xml:space="preserve"> that came together to work on a variety of issues in the NYS Budget and throughout the Legislative Session. As a group, we submitted </w:t>
      </w:r>
      <w:r w:rsidR="00CA1986">
        <w:t>a joint</w:t>
      </w:r>
      <w:r w:rsidR="004E1724">
        <w:t xml:space="preserve"> memo</w:t>
      </w:r>
      <w:r>
        <w:t xml:space="preserve"> to Legislative Leaders and legislators opposing the </w:t>
      </w:r>
      <w:r w:rsidRPr="00A07433">
        <w:t xml:space="preserve">TEMP Act. </w:t>
      </w:r>
      <w:r w:rsidR="00CA1986">
        <w:t>Our combined voice was very impactful</w:t>
      </w:r>
      <w:r w:rsidR="0068142B">
        <w:t xml:space="preserve"> in ensuring that legislators understood the </w:t>
      </w:r>
      <w:r w:rsidR="00C15BC9">
        <w:t xml:space="preserve">magnitude of </w:t>
      </w:r>
      <w:r w:rsidR="005D4659">
        <w:t xml:space="preserve">the </w:t>
      </w:r>
      <w:r w:rsidR="001D7ABE">
        <w:t>effects</w:t>
      </w:r>
      <w:r w:rsidR="005D4659">
        <w:t xml:space="preserve"> of this bill, and the monumental </w:t>
      </w:r>
      <w:r w:rsidR="00C15BC9">
        <w:t>opposition</w:t>
      </w:r>
      <w:r w:rsidR="001D7ABE">
        <w:t xml:space="preserve"> that was amassed</w:t>
      </w:r>
      <w:r w:rsidR="00C15BC9">
        <w:t xml:space="preserve"> </w:t>
      </w:r>
      <w:r w:rsidR="005D4659">
        <w:t>from</w:t>
      </w:r>
      <w:r w:rsidR="00C15BC9">
        <w:t xml:space="preserve"> several affected industries.</w:t>
      </w:r>
    </w:p>
    <w:p w14:paraId="77426901" w14:textId="4C6A4C2D" w:rsidR="001A6911" w:rsidRPr="001A6911" w:rsidRDefault="001A6911" w:rsidP="001A6911">
      <w:pPr>
        <w:pStyle w:val="NormalWeb"/>
        <w:rPr>
          <w:rFonts w:asciiTheme="minorHAnsi" w:hAnsiTheme="minorHAnsi" w:cs="Segoe UI"/>
          <w:color w:val="0D0D0D"/>
          <w:sz w:val="22"/>
          <w:szCs w:val="22"/>
        </w:rPr>
      </w:pPr>
      <w:r w:rsidRPr="001A6911">
        <w:rPr>
          <w:rFonts w:asciiTheme="minorHAnsi" w:hAnsiTheme="minorHAnsi"/>
          <w:color w:val="000000"/>
          <w:sz w:val="22"/>
          <w:szCs w:val="22"/>
        </w:rPr>
        <w:t>NYGIC</w:t>
      </w:r>
      <w:r w:rsidR="005B3C0C">
        <w:rPr>
          <w:rFonts w:asciiTheme="minorHAnsi" w:hAnsiTheme="minorHAnsi"/>
          <w:color w:val="000000"/>
          <w:sz w:val="22"/>
          <w:szCs w:val="22"/>
        </w:rPr>
        <w:t xml:space="preserve"> also</w:t>
      </w:r>
      <w:r w:rsidRPr="001A6911">
        <w:rPr>
          <w:rFonts w:asciiTheme="minorHAnsi" w:hAnsiTheme="minorHAnsi"/>
          <w:color w:val="000000"/>
          <w:sz w:val="22"/>
          <w:szCs w:val="22"/>
        </w:rPr>
        <w:t xml:space="preserve"> submitted </w:t>
      </w:r>
      <w:r w:rsidR="005B3C0C">
        <w:rPr>
          <w:rFonts w:asciiTheme="minorHAnsi" w:hAnsiTheme="minorHAnsi"/>
          <w:color w:val="000000"/>
          <w:sz w:val="22"/>
          <w:szCs w:val="22"/>
        </w:rPr>
        <w:t>its own</w:t>
      </w:r>
      <w:r w:rsidRPr="001A6911">
        <w:rPr>
          <w:rFonts w:asciiTheme="minorHAnsi" w:hAnsiTheme="minorHAnsi"/>
          <w:color w:val="000000"/>
          <w:sz w:val="22"/>
          <w:szCs w:val="22"/>
        </w:rPr>
        <w:t xml:space="preserve"> Memo in Opposition to the Senate and Assembly stating that t</w:t>
      </w:r>
      <w:r w:rsidRPr="001A6911">
        <w:rPr>
          <w:rFonts w:asciiTheme="minorHAnsi" w:hAnsiTheme="minorHAnsi" w:cs="Segoe UI"/>
          <w:color w:val="0D0D0D"/>
          <w:sz w:val="22"/>
          <w:szCs w:val="22"/>
        </w:rPr>
        <w:t>he Occupational Safety and Health Act of 1970, specifically the OSHA General Duty Clause (Section 5(a)(1)), mandates employers to provide hazard-free workplaces, encompassing heat and cold-related risks. Additionally, OSHA's personal protective equipment (PPE) standard necessitates hazard assessments, particularly in heat or cold-exposed work settings.</w:t>
      </w:r>
    </w:p>
    <w:p w14:paraId="49C332C4" w14:textId="77777777" w:rsidR="001A6911" w:rsidRDefault="001A6911" w:rsidP="001A6911">
      <w:pPr>
        <w:pStyle w:val="NormalWeb"/>
        <w:rPr>
          <w:rFonts w:asciiTheme="minorHAnsi" w:hAnsiTheme="minorHAnsi" w:cs="Segoe UI"/>
          <w:color w:val="0D0D0D"/>
          <w:sz w:val="22"/>
          <w:szCs w:val="22"/>
        </w:rPr>
      </w:pPr>
      <w:r w:rsidRPr="001A6911">
        <w:rPr>
          <w:rFonts w:asciiTheme="minorHAnsi" w:hAnsiTheme="minorHAnsi" w:cs="Segoe UI"/>
          <w:color w:val="0D0D0D"/>
          <w:sz w:val="22"/>
          <w:szCs w:val="22"/>
        </w:rPr>
        <w:t>The recordkeeping provisions within the proposed legislation are redundant and impose undue burdens on small enterprises. Existing OSHA regulations already require meticulous documentation of work-related injuries or illnesses, encompassing those stemming from heat or cold exposure. Moreover, the legislation mandates each employer to devise and submit a heat-related stress mitigation plan annually, potentially fostering unintended consequences through the "unlawful retaliation" clause.</w:t>
      </w:r>
    </w:p>
    <w:p w14:paraId="5AF852C4" w14:textId="5F576BEA" w:rsidR="002915A0" w:rsidRPr="001A6911" w:rsidRDefault="002915A0" w:rsidP="001A6911">
      <w:pPr>
        <w:pStyle w:val="NormalWeb"/>
        <w:rPr>
          <w:rFonts w:asciiTheme="minorHAnsi" w:hAnsiTheme="minorHAnsi" w:cs="Segoe UI"/>
          <w:color w:val="0D0D0D"/>
          <w:sz w:val="22"/>
          <w:szCs w:val="22"/>
        </w:rPr>
      </w:pPr>
      <w:r>
        <w:rPr>
          <w:rFonts w:asciiTheme="minorHAnsi" w:hAnsiTheme="minorHAnsi" w:cs="Segoe UI"/>
          <w:color w:val="0D0D0D"/>
          <w:sz w:val="22"/>
          <w:szCs w:val="22"/>
        </w:rPr>
        <w:t xml:space="preserve">Although we were successful in stopping this bill, </w:t>
      </w:r>
      <w:r w:rsidR="005A2842">
        <w:rPr>
          <w:rFonts w:asciiTheme="minorHAnsi" w:hAnsiTheme="minorHAnsi" w:cs="Segoe UI"/>
          <w:color w:val="0D0D0D"/>
          <w:sz w:val="22"/>
          <w:szCs w:val="22"/>
        </w:rPr>
        <w:t xml:space="preserve">it will likely be reintroduced next session and our work will </w:t>
      </w:r>
      <w:proofErr w:type="gramStart"/>
      <w:r w:rsidR="005A2842">
        <w:rPr>
          <w:rFonts w:asciiTheme="minorHAnsi" w:hAnsiTheme="minorHAnsi" w:cs="Segoe UI"/>
          <w:color w:val="0D0D0D"/>
          <w:sz w:val="22"/>
          <w:szCs w:val="22"/>
        </w:rPr>
        <w:t>continue on</w:t>
      </w:r>
      <w:proofErr w:type="gramEnd"/>
      <w:r w:rsidR="005A2842">
        <w:rPr>
          <w:rFonts w:asciiTheme="minorHAnsi" w:hAnsiTheme="minorHAnsi" w:cs="Segoe UI"/>
          <w:color w:val="0D0D0D"/>
          <w:sz w:val="22"/>
          <w:szCs w:val="22"/>
        </w:rPr>
        <w:t xml:space="preserve"> this bill.</w:t>
      </w:r>
    </w:p>
    <w:p w14:paraId="7673633B" w14:textId="741A3A78" w:rsidR="00CE1F92" w:rsidRDefault="00CE1F92" w:rsidP="001A6911">
      <w:pPr>
        <w:rPr>
          <w:rFonts w:eastAsia="Times New Roman"/>
          <w:b/>
          <w:bCs/>
          <w:color w:val="000000"/>
          <w:sz w:val="28"/>
          <w:szCs w:val="28"/>
        </w:rPr>
      </w:pPr>
    </w:p>
    <w:p w14:paraId="264C3DD1" w14:textId="43AA4705" w:rsidR="001A6911" w:rsidRPr="001A6911" w:rsidRDefault="001A6911" w:rsidP="001A6911">
      <w:pPr>
        <w:rPr>
          <w:rFonts w:eastAsia="Times New Roman"/>
          <w:b/>
          <w:bCs/>
          <w:color w:val="000000"/>
          <w:sz w:val="28"/>
          <w:szCs w:val="28"/>
        </w:rPr>
      </w:pPr>
      <w:r w:rsidRPr="001A6911">
        <w:rPr>
          <w:rFonts w:eastAsia="Times New Roman"/>
          <w:b/>
          <w:bCs/>
          <w:color w:val="000000"/>
          <w:sz w:val="28"/>
          <w:szCs w:val="28"/>
        </w:rPr>
        <w:t>Low Impact Landscaping Rights Act</w:t>
      </w:r>
    </w:p>
    <w:p w14:paraId="3DD9F0BB" w14:textId="187DD6AD" w:rsidR="001A6911" w:rsidRDefault="001A6911" w:rsidP="00470BB8">
      <w:pPr>
        <w:rPr>
          <w:rFonts w:eastAsia="Times New Roman"/>
          <w:color w:val="000000"/>
        </w:rPr>
      </w:pPr>
      <w:r>
        <w:rPr>
          <w:rFonts w:eastAsia="Times New Roman"/>
          <w:color w:val="000000"/>
        </w:rPr>
        <w:t>S.7088 / A.6317 (May / Glick)</w:t>
      </w:r>
      <w:r>
        <w:rPr>
          <w:rFonts w:eastAsia="Times New Roman"/>
          <w:color w:val="000000"/>
        </w:rPr>
        <w:br/>
      </w:r>
      <w:r w:rsidRPr="001A6911">
        <w:rPr>
          <w:rFonts w:eastAsia="Times New Roman"/>
          <w:b/>
          <w:bCs/>
          <w:color w:val="000000"/>
        </w:rPr>
        <w:t>Final Status</w:t>
      </w:r>
      <w:r>
        <w:rPr>
          <w:rFonts w:eastAsia="Times New Roman"/>
          <w:color w:val="000000"/>
        </w:rPr>
        <w:t>: This bill passed the Assembly and died in the Senate Judiciary Committee</w:t>
      </w:r>
    </w:p>
    <w:p w14:paraId="55ECCF16" w14:textId="3192D5A0" w:rsidR="00470BB8" w:rsidRDefault="00470BB8" w:rsidP="00470BB8">
      <w:pPr>
        <w:rPr>
          <w:rFonts w:eastAsia="Times New Roman"/>
          <w:color w:val="000000"/>
        </w:rPr>
      </w:pPr>
      <w:r>
        <w:rPr>
          <w:rFonts w:eastAsia="Times New Roman"/>
          <w:color w:val="000000"/>
        </w:rPr>
        <w:t xml:space="preserve">This bill would have allowed Condominium owners to defy HOA rules about cutting grass and keeping their properties "neat". It would have forbidden Condo boards to </w:t>
      </w:r>
      <w:proofErr w:type="gramStart"/>
      <w:r>
        <w:rPr>
          <w:rFonts w:eastAsia="Times New Roman"/>
          <w:color w:val="000000"/>
        </w:rPr>
        <w:t>take action</w:t>
      </w:r>
      <w:proofErr w:type="gramEnd"/>
      <w:r>
        <w:rPr>
          <w:rFonts w:eastAsia="Times New Roman"/>
          <w:color w:val="000000"/>
        </w:rPr>
        <w:t xml:space="preserve"> against </w:t>
      </w:r>
      <w:r w:rsidR="001A6911">
        <w:rPr>
          <w:rFonts w:eastAsia="Times New Roman"/>
          <w:color w:val="000000"/>
        </w:rPr>
        <w:t>homeowners that allow their property to become overgrown</w:t>
      </w:r>
      <w:r>
        <w:rPr>
          <w:rFonts w:eastAsia="Times New Roman"/>
          <w:color w:val="000000"/>
        </w:rPr>
        <w:t xml:space="preserve">. </w:t>
      </w:r>
    </w:p>
    <w:p w14:paraId="65D25A33" w14:textId="63D1F89F" w:rsidR="001033AB" w:rsidRDefault="001033AB" w:rsidP="00470BB8">
      <w:pPr>
        <w:rPr>
          <w:rFonts w:eastAsia="Times New Roman"/>
          <w:color w:val="000000"/>
        </w:rPr>
      </w:pPr>
      <w:r>
        <w:rPr>
          <w:rFonts w:eastAsia="Times New Roman"/>
          <w:color w:val="000000"/>
        </w:rPr>
        <w:t xml:space="preserve">Low Impact Landscaping </w:t>
      </w:r>
      <w:r w:rsidR="00451787">
        <w:rPr>
          <w:rFonts w:eastAsia="Times New Roman"/>
          <w:color w:val="000000"/>
        </w:rPr>
        <w:t>is defined as pollinator gardens, rain gardens, habitat gardens, and natural gardening that uses plants native to the State of NY</w:t>
      </w:r>
      <w:r w:rsidR="002E5394">
        <w:rPr>
          <w:rFonts w:eastAsia="Times New Roman"/>
          <w:color w:val="000000"/>
        </w:rPr>
        <w:t>.</w:t>
      </w:r>
    </w:p>
    <w:p w14:paraId="648071D5" w14:textId="7EDA9774" w:rsidR="00451787" w:rsidRDefault="002F2324" w:rsidP="00470BB8">
      <w:pPr>
        <w:rPr>
          <w:rFonts w:eastAsia="Times New Roman"/>
          <w:b/>
          <w:bCs/>
          <w:color w:val="000000"/>
        </w:rPr>
      </w:pPr>
      <w:r w:rsidRPr="002F2324">
        <w:rPr>
          <w:rFonts w:eastAsia="Times New Roman"/>
          <w:b/>
          <w:bCs/>
          <w:color w:val="000000"/>
        </w:rPr>
        <w:t>NYGIC Comments:</w:t>
      </w:r>
    </w:p>
    <w:p w14:paraId="195E46A7" w14:textId="0BCAF44A" w:rsidR="002F2324" w:rsidRDefault="00832BCA" w:rsidP="00470BB8">
      <w:pPr>
        <w:rPr>
          <w:rFonts w:eastAsia="Times New Roman"/>
          <w:color w:val="000000"/>
        </w:rPr>
      </w:pPr>
      <w:r>
        <w:rPr>
          <w:rFonts w:eastAsia="Times New Roman"/>
          <w:color w:val="000000"/>
        </w:rPr>
        <w:t xml:space="preserve">This infringes on the right of condo and co-op boards to control landscaping in their developments. </w:t>
      </w:r>
      <w:r w:rsidR="00700CB3">
        <w:rPr>
          <w:rFonts w:eastAsia="Times New Roman"/>
          <w:color w:val="000000"/>
        </w:rPr>
        <w:t xml:space="preserve">It </w:t>
      </w:r>
      <w:r w:rsidR="002D0A6F">
        <w:rPr>
          <w:rFonts w:eastAsia="Times New Roman"/>
          <w:color w:val="000000"/>
        </w:rPr>
        <w:t xml:space="preserve">also </w:t>
      </w:r>
      <w:r w:rsidR="00700CB3">
        <w:rPr>
          <w:rFonts w:eastAsia="Times New Roman"/>
          <w:color w:val="000000"/>
        </w:rPr>
        <w:t xml:space="preserve">dismisses the environmental benefits of turfgrass. </w:t>
      </w:r>
      <w:r w:rsidR="002D0A6F">
        <w:rPr>
          <w:rFonts w:eastAsia="Times New Roman"/>
          <w:color w:val="000000"/>
        </w:rPr>
        <w:t>The result is that h</w:t>
      </w:r>
      <w:r w:rsidR="00700CB3">
        <w:rPr>
          <w:rFonts w:eastAsia="Times New Roman"/>
          <w:color w:val="000000"/>
        </w:rPr>
        <w:t>omeowners would have the right to grow their grass as high as they choose</w:t>
      </w:r>
      <w:r w:rsidR="00CE1F92">
        <w:rPr>
          <w:rFonts w:eastAsia="Times New Roman"/>
          <w:color w:val="000000"/>
        </w:rPr>
        <w:t>.</w:t>
      </w:r>
    </w:p>
    <w:p w14:paraId="1EBA16C9" w14:textId="39DE4EF2" w:rsidR="002D0A6F" w:rsidRPr="00832BCA" w:rsidRDefault="00452E65" w:rsidP="00470BB8">
      <w:pPr>
        <w:rPr>
          <w:rFonts w:eastAsia="Times New Roman"/>
          <w:color w:val="000000"/>
        </w:rPr>
      </w:pPr>
      <w:r>
        <w:rPr>
          <w:rFonts w:eastAsia="Times New Roman"/>
          <w:color w:val="000000"/>
        </w:rPr>
        <w:t xml:space="preserve">We are hopeful that our opposition spoke loudly to </w:t>
      </w:r>
      <w:proofErr w:type="gramStart"/>
      <w:r>
        <w:rPr>
          <w:rFonts w:eastAsia="Times New Roman"/>
          <w:color w:val="000000"/>
        </w:rPr>
        <w:t>legislators</w:t>
      </w:r>
      <w:proofErr w:type="gramEnd"/>
      <w:r>
        <w:rPr>
          <w:rFonts w:eastAsia="Times New Roman"/>
          <w:color w:val="000000"/>
        </w:rPr>
        <w:t xml:space="preserve"> and we hopefully will not see this bill reintroduced next session, but if it is, we are prepared to </w:t>
      </w:r>
      <w:r w:rsidR="007B7339">
        <w:rPr>
          <w:rFonts w:eastAsia="Times New Roman"/>
          <w:color w:val="000000"/>
        </w:rPr>
        <w:t>oppose it.</w:t>
      </w:r>
    </w:p>
    <w:p w14:paraId="0216E70B" w14:textId="77777777" w:rsidR="00CE1F92" w:rsidRDefault="00CE1F92" w:rsidP="00470BB8">
      <w:pPr>
        <w:rPr>
          <w:rFonts w:eastAsia="Times New Roman"/>
          <w:b/>
          <w:bCs/>
          <w:color w:val="000000"/>
          <w:sz w:val="28"/>
          <w:szCs w:val="28"/>
        </w:rPr>
      </w:pPr>
    </w:p>
    <w:p w14:paraId="6EB149CD" w14:textId="6E1A4D5D" w:rsidR="001A6911" w:rsidRPr="00A43DE2" w:rsidRDefault="00A43DE2" w:rsidP="00470BB8">
      <w:pPr>
        <w:rPr>
          <w:rFonts w:eastAsia="Times New Roman"/>
          <w:b/>
          <w:bCs/>
          <w:color w:val="000000"/>
          <w:sz w:val="28"/>
          <w:szCs w:val="28"/>
        </w:rPr>
      </w:pPr>
      <w:r>
        <w:rPr>
          <w:rFonts w:eastAsia="Times New Roman"/>
          <w:b/>
          <w:bCs/>
          <w:color w:val="000000"/>
          <w:sz w:val="28"/>
          <w:szCs w:val="28"/>
        </w:rPr>
        <w:t>Electric Landscaping Equipment Rebate Program</w:t>
      </w:r>
    </w:p>
    <w:p w14:paraId="3AC063F9" w14:textId="2838788B" w:rsidR="001A6911" w:rsidRPr="00A43DE2" w:rsidRDefault="00A43DE2" w:rsidP="00470BB8">
      <w:pPr>
        <w:rPr>
          <w:rFonts w:ascii="Aptos" w:eastAsia="Times New Roman" w:hAnsi="Aptos" w:cs="Aptos"/>
          <w:color w:val="000000"/>
        </w:rPr>
      </w:pPr>
      <w:r w:rsidRPr="00A43DE2">
        <w:rPr>
          <w:rFonts w:ascii="Aptos" w:eastAsia="Times New Roman" w:hAnsi="Aptos" w:cs="Aptos"/>
          <w:color w:val="000000"/>
        </w:rPr>
        <w:t>S.5853-A / A.5681-A (Krueger / Otis)</w:t>
      </w:r>
      <w:r w:rsidRPr="00A43DE2">
        <w:rPr>
          <w:rFonts w:ascii="Aptos" w:eastAsia="Times New Roman" w:hAnsi="Aptos" w:cs="Aptos"/>
          <w:color w:val="000000"/>
        </w:rPr>
        <w:br/>
      </w:r>
      <w:r w:rsidRPr="00A43DE2">
        <w:rPr>
          <w:rFonts w:ascii="Aptos" w:eastAsia="Times New Roman" w:hAnsi="Aptos" w:cs="Aptos"/>
          <w:b/>
          <w:bCs/>
          <w:color w:val="000000"/>
        </w:rPr>
        <w:t>Final Status</w:t>
      </w:r>
      <w:r w:rsidRPr="00A43DE2">
        <w:rPr>
          <w:rFonts w:ascii="Aptos" w:eastAsia="Times New Roman" w:hAnsi="Aptos" w:cs="Aptos"/>
          <w:color w:val="000000"/>
        </w:rPr>
        <w:t xml:space="preserve">: </w:t>
      </w:r>
      <w:r>
        <w:rPr>
          <w:rFonts w:ascii="Aptos" w:eastAsia="Times New Roman" w:hAnsi="Aptos" w:cs="Aptos"/>
          <w:color w:val="000000"/>
        </w:rPr>
        <w:t>Passed Senate / Assembly 3</w:t>
      </w:r>
      <w:r w:rsidRPr="00A43DE2">
        <w:rPr>
          <w:rFonts w:ascii="Aptos" w:eastAsia="Times New Roman" w:hAnsi="Aptos" w:cs="Aptos"/>
          <w:color w:val="000000"/>
          <w:vertAlign w:val="superscript"/>
        </w:rPr>
        <w:t>rd</w:t>
      </w:r>
      <w:r>
        <w:rPr>
          <w:rFonts w:ascii="Aptos" w:eastAsia="Times New Roman" w:hAnsi="Aptos" w:cs="Aptos"/>
          <w:color w:val="000000"/>
        </w:rPr>
        <w:t xml:space="preserve"> Reading</w:t>
      </w:r>
    </w:p>
    <w:p w14:paraId="5026900A" w14:textId="2BB1B993" w:rsidR="00A43DE2" w:rsidRPr="00A43DE2" w:rsidRDefault="00A43DE2" w:rsidP="00470BB8">
      <w:pPr>
        <w:rPr>
          <w:rFonts w:eastAsia="Times New Roman"/>
          <w:color w:val="000000"/>
        </w:rPr>
      </w:pPr>
      <w:r>
        <w:rPr>
          <w:rFonts w:eastAsia="Times New Roman"/>
          <w:color w:val="000000"/>
        </w:rPr>
        <w:lastRenderedPageBreak/>
        <w:t xml:space="preserve">This bill would require the creation of a rebate program at the point of sale of electric landscaping </w:t>
      </w:r>
      <w:r w:rsidRPr="00A43DE2">
        <w:rPr>
          <w:rFonts w:eastAsia="Times New Roman"/>
          <w:color w:val="000000"/>
        </w:rPr>
        <w:t>equipment to institutional or commercial applicants.</w:t>
      </w:r>
    </w:p>
    <w:p w14:paraId="6A19367C" w14:textId="23ECA730" w:rsidR="00A43DE2" w:rsidRDefault="00A43DE2" w:rsidP="00A43DE2">
      <w:pPr>
        <w:pStyle w:val="HTMLPreformatted"/>
        <w:rPr>
          <w:rFonts w:asciiTheme="minorHAnsi" w:hAnsiTheme="minorHAnsi"/>
          <w:color w:val="000000"/>
          <w:sz w:val="22"/>
          <w:szCs w:val="22"/>
        </w:rPr>
      </w:pPr>
      <w:r w:rsidRPr="00A43DE2">
        <w:rPr>
          <w:rFonts w:asciiTheme="minorHAnsi" w:hAnsiTheme="minorHAnsi"/>
          <w:color w:val="000000"/>
          <w:sz w:val="22"/>
          <w:szCs w:val="22"/>
        </w:rPr>
        <w:t>NYSERDA would be authorized to determine rebate eligibility, allocate rebates on a first-come first-served basis, and to reduce rebate amounts if it is determined that funds would otherwise be exhausted prior to the end of a fiscal year.</w:t>
      </w:r>
    </w:p>
    <w:p w14:paraId="6DAEAF66" w14:textId="77777777" w:rsidR="00A43DE2" w:rsidRDefault="00A43DE2" w:rsidP="00A43DE2">
      <w:pPr>
        <w:pStyle w:val="HTMLPreformatted"/>
        <w:rPr>
          <w:color w:val="000000"/>
        </w:rPr>
      </w:pPr>
    </w:p>
    <w:p w14:paraId="03EEBFE0" w14:textId="17678362" w:rsidR="00EE362E" w:rsidRPr="00EE362E" w:rsidRDefault="00EE362E" w:rsidP="00470BB8">
      <w:pPr>
        <w:rPr>
          <w:rFonts w:eastAsia="Times New Roman"/>
          <w:b/>
          <w:bCs/>
          <w:color w:val="000000"/>
        </w:rPr>
      </w:pPr>
      <w:r w:rsidRPr="00EE362E">
        <w:rPr>
          <w:rFonts w:eastAsia="Times New Roman"/>
          <w:b/>
          <w:bCs/>
          <w:color w:val="000000"/>
        </w:rPr>
        <w:t>NYGIC Comments:</w:t>
      </w:r>
    </w:p>
    <w:p w14:paraId="78D170A8" w14:textId="137829F8" w:rsidR="00470BB8" w:rsidRDefault="00A43DE2" w:rsidP="00470BB8">
      <w:pPr>
        <w:rPr>
          <w:rFonts w:eastAsia="Times New Roman"/>
          <w:color w:val="000000"/>
        </w:rPr>
      </w:pPr>
      <w:r>
        <w:rPr>
          <w:rFonts w:eastAsia="Times New Roman"/>
          <w:color w:val="000000"/>
        </w:rPr>
        <w:t>The bill’s sponsors suggest that the purpose of the bill is to reduce greenhouse gas emissions, improve air quality, and reduce noise pollution. It is providing an incentive to buy electric over gas-powered equipment, but it cannot be ignored that this will lead to banning of gas-powered equipment.</w:t>
      </w:r>
    </w:p>
    <w:p w14:paraId="4B2B3EEB" w14:textId="77777777" w:rsidR="000C4286" w:rsidRPr="000C4286" w:rsidRDefault="000C4286" w:rsidP="000C4286">
      <w:r w:rsidRPr="000C4286">
        <w:t xml:space="preserve">While rebates enjoy popularity among eligible homeowners, commercial landscapers recognize that battery powered equipment is not yet reliable enough for commercial use due to lingering inadequacies and safety concerns of the batteries required to run this equipment. </w:t>
      </w:r>
    </w:p>
    <w:p w14:paraId="7FA2E198" w14:textId="4DADB5BB" w:rsidR="00A43DE2" w:rsidRPr="00A43DE2" w:rsidRDefault="00A43DE2" w:rsidP="00470BB8">
      <w:pPr>
        <w:rPr>
          <w:rFonts w:eastAsia="Times New Roman"/>
          <w:color w:val="000000"/>
        </w:rPr>
      </w:pPr>
      <w:r>
        <w:rPr>
          <w:rFonts w:eastAsia="Times New Roman"/>
          <w:color w:val="000000"/>
        </w:rPr>
        <w:t>Government officials should let the market decide when or if the use of electric equipment makes sense.</w:t>
      </w:r>
    </w:p>
    <w:p w14:paraId="3D4F394E" w14:textId="77777777" w:rsidR="00CE1F92" w:rsidRDefault="00CE1F92" w:rsidP="00470BB8">
      <w:pPr>
        <w:rPr>
          <w:rFonts w:eastAsia="Times New Roman"/>
          <w:b/>
          <w:bCs/>
          <w:color w:val="000000"/>
          <w:sz w:val="28"/>
          <w:szCs w:val="28"/>
        </w:rPr>
      </w:pPr>
    </w:p>
    <w:p w14:paraId="2C2B1658" w14:textId="43B2CC2A" w:rsidR="00470BB8" w:rsidRPr="00A43DE2" w:rsidRDefault="00A43DE2" w:rsidP="00470BB8">
      <w:pPr>
        <w:rPr>
          <w:rFonts w:eastAsia="Times New Roman"/>
          <w:b/>
          <w:bCs/>
          <w:color w:val="000000"/>
          <w:sz w:val="28"/>
          <w:szCs w:val="28"/>
        </w:rPr>
      </w:pPr>
      <w:r>
        <w:rPr>
          <w:rFonts w:eastAsia="Times New Roman"/>
          <w:b/>
          <w:bCs/>
          <w:color w:val="000000"/>
          <w:sz w:val="28"/>
          <w:szCs w:val="28"/>
        </w:rPr>
        <w:t>Prohibit Application of Pesticides to Certain Freshwater Wetlands</w:t>
      </w:r>
    </w:p>
    <w:p w14:paraId="7A170C3D" w14:textId="77777777" w:rsidR="00A43DE2" w:rsidRDefault="00A43DE2" w:rsidP="00470BB8">
      <w:pPr>
        <w:rPr>
          <w:rFonts w:eastAsia="Times New Roman"/>
          <w:color w:val="000000"/>
        </w:rPr>
      </w:pPr>
      <w:r>
        <w:rPr>
          <w:rFonts w:eastAsia="Times New Roman"/>
          <w:color w:val="000000"/>
        </w:rPr>
        <w:t>S.9379 / A.9712 (</w:t>
      </w:r>
      <w:proofErr w:type="spellStart"/>
      <w:r>
        <w:rPr>
          <w:rFonts w:eastAsia="Times New Roman"/>
          <w:color w:val="000000"/>
        </w:rPr>
        <w:t>Harckham</w:t>
      </w:r>
      <w:proofErr w:type="spellEnd"/>
      <w:r>
        <w:rPr>
          <w:rFonts w:eastAsia="Times New Roman"/>
          <w:color w:val="000000"/>
        </w:rPr>
        <w:t xml:space="preserve"> / Burdick) </w:t>
      </w:r>
      <w:r>
        <w:rPr>
          <w:rFonts w:eastAsia="Times New Roman"/>
          <w:color w:val="000000"/>
        </w:rPr>
        <w:br/>
      </w:r>
      <w:r w:rsidRPr="00A43DE2">
        <w:rPr>
          <w:rFonts w:eastAsia="Times New Roman"/>
          <w:b/>
          <w:bCs/>
          <w:color w:val="000000"/>
        </w:rPr>
        <w:t>Final Status</w:t>
      </w:r>
      <w:r>
        <w:rPr>
          <w:rFonts w:eastAsia="Times New Roman"/>
          <w:color w:val="000000"/>
        </w:rPr>
        <w:t>:  Passed Both Houses</w:t>
      </w:r>
    </w:p>
    <w:p w14:paraId="0C05003E" w14:textId="1A5D68D9" w:rsidR="00470BB8" w:rsidRDefault="000C4286" w:rsidP="00470BB8">
      <w:pPr>
        <w:rPr>
          <w:rFonts w:eastAsia="Times New Roman"/>
          <w:color w:val="000000"/>
        </w:rPr>
      </w:pPr>
      <w:r>
        <w:rPr>
          <w:rFonts w:eastAsia="Times New Roman"/>
          <w:color w:val="000000"/>
        </w:rPr>
        <w:t xml:space="preserve">This bill </w:t>
      </w:r>
      <w:r w:rsidR="00470BB8">
        <w:rPr>
          <w:rFonts w:eastAsia="Times New Roman"/>
          <w:color w:val="000000"/>
        </w:rPr>
        <w:t>allow</w:t>
      </w:r>
      <w:r>
        <w:rPr>
          <w:rFonts w:eastAsia="Times New Roman"/>
          <w:color w:val="000000"/>
        </w:rPr>
        <w:t>s</w:t>
      </w:r>
      <w:r w:rsidR="00470BB8">
        <w:rPr>
          <w:rFonts w:eastAsia="Times New Roman"/>
          <w:color w:val="000000"/>
        </w:rPr>
        <w:t xml:space="preserve"> municipalities to ban the use of pesticides in or near freshwater wetlands.</w:t>
      </w:r>
    </w:p>
    <w:p w14:paraId="372148B2" w14:textId="386F022B" w:rsidR="003E0BBE" w:rsidRPr="003E0BBE" w:rsidRDefault="003E0BBE" w:rsidP="000C4286">
      <w:pPr>
        <w:pStyle w:val="NormalWeb"/>
        <w:rPr>
          <w:rFonts w:ascii="Aptos" w:hAnsi="Aptos" w:cs="Segoe UI"/>
          <w:b/>
          <w:bCs/>
          <w:color w:val="0D0D0D"/>
          <w:sz w:val="22"/>
          <w:szCs w:val="22"/>
        </w:rPr>
      </w:pPr>
      <w:r w:rsidRPr="003E0BBE">
        <w:rPr>
          <w:rFonts w:ascii="Aptos" w:hAnsi="Aptos" w:cs="Segoe UI"/>
          <w:b/>
          <w:bCs/>
          <w:color w:val="0D0D0D"/>
          <w:sz w:val="22"/>
          <w:szCs w:val="22"/>
        </w:rPr>
        <w:t>NYGIC Comments:</w:t>
      </w:r>
    </w:p>
    <w:p w14:paraId="032CF13B" w14:textId="52F0DEB8" w:rsidR="000C4286" w:rsidRPr="000C4286" w:rsidRDefault="000C4286" w:rsidP="000C4286">
      <w:pPr>
        <w:pStyle w:val="NormalWeb"/>
        <w:rPr>
          <w:rFonts w:ascii="Aptos" w:hAnsi="Aptos" w:cs="Segoe UI"/>
          <w:color w:val="0D0D0D"/>
          <w:sz w:val="22"/>
          <w:szCs w:val="22"/>
        </w:rPr>
      </w:pPr>
      <w:r w:rsidRPr="000C4286">
        <w:rPr>
          <w:rFonts w:ascii="Aptos" w:hAnsi="Aptos" w:cs="Segoe UI"/>
          <w:color w:val="0D0D0D"/>
          <w:sz w:val="22"/>
          <w:szCs w:val="22"/>
        </w:rPr>
        <w:t>It sets a risky precedent by granting local governments control over pesticide use. Regardless of the merit of using pesticides in specified wetlands, such decisions should rest with the state-level regulatory body equipped with the necessary expertise to assess matters thoroughly and make science-based determinations. State law delegates such decisions to the state level</w:t>
      </w:r>
      <w:r w:rsidR="00455CF2">
        <w:rPr>
          <w:rFonts w:ascii="Aptos" w:hAnsi="Aptos" w:cs="Segoe UI"/>
          <w:color w:val="0D0D0D"/>
          <w:sz w:val="22"/>
          <w:szCs w:val="22"/>
        </w:rPr>
        <w:t xml:space="preserve"> (NYS Department of Environmental Conservation – DEC)</w:t>
      </w:r>
      <w:r w:rsidRPr="000C4286">
        <w:rPr>
          <w:rFonts w:ascii="Aptos" w:hAnsi="Aptos" w:cs="Segoe UI"/>
          <w:color w:val="0D0D0D"/>
          <w:sz w:val="22"/>
          <w:szCs w:val="22"/>
        </w:rPr>
        <w:t>, preempting local government control, to prevent inconsistent regulations and ensure uniform, science-based decisions statewide.</w:t>
      </w:r>
    </w:p>
    <w:p w14:paraId="21D1B5FC" w14:textId="72D1EB59" w:rsidR="000C4286" w:rsidRDefault="000C4286" w:rsidP="00125CC2">
      <w:pPr>
        <w:pStyle w:val="NormalWeb"/>
        <w:rPr>
          <w:rFonts w:ascii="Aptos" w:hAnsi="Aptos" w:cs="Segoe UI"/>
          <w:color w:val="0D0D0D"/>
          <w:sz w:val="22"/>
          <w:szCs w:val="22"/>
        </w:rPr>
      </w:pPr>
      <w:r w:rsidRPr="000C4286">
        <w:rPr>
          <w:rFonts w:ascii="Aptos" w:hAnsi="Aptos" w:cs="Segoe UI"/>
          <w:color w:val="0D0D0D"/>
          <w:sz w:val="22"/>
          <w:szCs w:val="22"/>
        </w:rPr>
        <w:t xml:space="preserve">The </w:t>
      </w:r>
      <w:r w:rsidR="00455CF2">
        <w:rPr>
          <w:rFonts w:ascii="Aptos" w:hAnsi="Aptos" w:cs="Segoe UI"/>
          <w:color w:val="0D0D0D"/>
          <w:sz w:val="22"/>
          <w:szCs w:val="22"/>
        </w:rPr>
        <w:t>DEC</w:t>
      </w:r>
      <w:r w:rsidRPr="000C4286">
        <w:rPr>
          <w:rFonts w:ascii="Aptos" w:hAnsi="Aptos" w:cs="Segoe UI"/>
          <w:color w:val="0D0D0D"/>
          <w:sz w:val="22"/>
          <w:szCs w:val="22"/>
        </w:rPr>
        <w:t xml:space="preserve"> has a </w:t>
      </w:r>
      <w:r w:rsidR="00EE5A3F">
        <w:rPr>
          <w:rFonts w:ascii="Aptos" w:hAnsi="Aptos" w:cs="Segoe UI"/>
          <w:color w:val="0D0D0D"/>
          <w:sz w:val="22"/>
          <w:szCs w:val="22"/>
        </w:rPr>
        <w:t xml:space="preserve">well-established history of </w:t>
      </w:r>
      <w:r w:rsidRPr="000C4286">
        <w:rPr>
          <w:rFonts w:ascii="Aptos" w:hAnsi="Aptos" w:cs="Segoe UI"/>
          <w:color w:val="0D0D0D"/>
          <w:sz w:val="22"/>
          <w:szCs w:val="22"/>
        </w:rPr>
        <w:t xml:space="preserve">evaluating, registering, and regulating pesticides, and </w:t>
      </w:r>
      <w:r w:rsidR="00EE5A3F">
        <w:rPr>
          <w:rFonts w:ascii="Aptos" w:hAnsi="Aptos" w:cs="Segoe UI"/>
          <w:color w:val="0D0D0D"/>
          <w:sz w:val="22"/>
          <w:szCs w:val="22"/>
        </w:rPr>
        <w:t xml:space="preserve">it is essential for </w:t>
      </w:r>
      <w:r w:rsidRPr="000C4286">
        <w:rPr>
          <w:rFonts w:ascii="Aptos" w:hAnsi="Aptos" w:cs="Segoe UI"/>
          <w:color w:val="0D0D0D"/>
          <w:sz w:val="22"/>
          <w:szCs w:val="22"/>
        </w:rPr>
        <w:t xml:space="preserve">the state </w:t>
      </w:r>
      <w:r w:rsidR="00EE5A3F">
        <w:rPr>
          <w:rFonts w:ascii="Aptos" w:hAnsi="Aptos" w:cs="Segoe UI"/>
          <w:color w:val="0D0D0D"/>
          <w:sz w:val="22"/>
          <w:szCs w:val="22"/>
        </w:rPr>
        <w:t>to</w:t>
      </w:r>
      <w:r w:rsidRPr="000C4286">
        <w:rPr>
          <w:rFonts w:ascii="Aptos" w:hAnsi="Aptos" w:cs="Segoe UI"/>
          <w:color w:val="0D0D0D"/>
          <w:sz w:val="22"/>
          <w:szCs w:val="22"/>
        </w:rPr>
        <w:t xml:space="preserve"> continue support</w:t>
      </w:r>
      <w:r w:rsidR="00EE5A3F">
        <w:rPr>
          <w:rFonts w:ascii="Aptos" w:hAnsi="Aptos" w:cs="Segoe UI"/>
          <w:color w:val="0D0D0D"/>
          <w:sz w:val="22"/>
          <w:szCs w:val="22"/>
        </w:rPr>
        <w:t>ing</w:t>
      </w:r>
      <w:r w:rsidRPr="000C4286">
        <w:rPr>
          <w:rFonts w:ascii="Aptos" w:hAnsi="Aptos" w:cs="Segoe UI"/>
          <w:color w:val="0D0D0D"/>
          <w:sz w:val="22"/>
          <w:szCs w:val="22"/>
        </w:rPr>
        <w:t xml:space="preserve"> this </w:t>
      </w:r>
      <w:r w:rsidR="0026331D">
        <w:rPr>
          <w:rFonts w:ascii="Aptos" w:hAnsi="Aptos" w:cs="Segoe UI"/>
          <w:color w:val="0D0D0D"/>
          <w:sz w:val="22"/>
          <w:szCs w:val="22"/>
        </w:rPr>
        <w:t>vital</w:t>
      </w:r>
      <w:r w:rsidRPr="000C4286">
        <w:rPr>
          <w:rFonts w:ascii="Aptos" w:hAnsi="Aptos" w:cs="Segoe UI"/>
          <w:color w:val="0D0D0D"/>
          <w:sz w:val="22"/>
          <w:szCs w:val="22"/>
        </w:rPr>
        <w:t xml:space="preserve"> program with </w:t>
      </w:r>
      <w:r w:rsidR="0026331D">
        <w:rPr>
          <w:rFonts w:ascii="Aptos" w:hAnsi="Aptos" w:cs="Segoe UI"/>
          <w:color w:val="0D0D0D"/>
          <w:sz w:val="22"/>
          <w:szCs w:val="22"/>
        </w:rPr>
        <w:t>sufficient</w:t>
      </w:r>
      <w:r w:rsidRPr="000C4286">
        <w:rPr>
          <w:rFonts w:ascii="Aptos" w:hAnsi="Aptos" w:cs="Segoe UI"/>
          <w:color w:val="0D0D0D"/>
          <w:sz w:val="22"/>
          <w:szCs w:val="22"/>
        </w:rPr>
        <w:t xml:space="preserve"> resources.</w:t>
      </w:r>
      <w:r w:rsidR="00EE5A3F">
        <w:rPr>
          <w:rFonts w:ascii="Aptos" w:hAnsi="Aptos" w:cs="Segoe UI"/>
          <w:color w:val="0D0D0D"/>
          <w:sz w:val="22"/>
          <w:szCs w:val="22"/>
        </w:rPr>
        <w:t xml:space="preserve"> In the past municipalities have proposed</w:t>
      </w:r>
      <w:r w:rsidR="0026331D">
        <w:rPr>
          <w:rFonts w:ascii="Aptos" w:hAnsi="Aptos" w:cs="Segoe UI"/>
          <w:color w:val="0D0D0D"/>
          <w:sz w:val="22"/>
          <w:szCs w:val="22"/>
        </w:rPr>
        <w:t xml:space="preserve"> or enacted</w:t>
      </w:r>
      <w:r w:rsidR="00EE5A3F">
        <w:rPr>
          <w:rFonts w:ascii="Aptos" w:hAnsi="Aptos" w:cs="Segoe UI"/>
          <w:color w:val="0D0D0D"/>
          <w:sz w:val="22"/>
          <w:szCs w:val="22"/>
        </w:rPr>
        <w:t xml:space="preserve"> local laws restricting pesticide use, which oversteps and undermines DEC’s statutory responsibility to enforce State laws. DEC has exclusive jurisdiction over pesticide laws across NYS, and </w:t>
      </w:r>
      <w:r w:rsidR="0026331D">
        <w:rPr>
          <w:rFonts w:ascii="Aptos" w:hAnsi="Aptos" w:cs="Segoe UI"/>
          <w:color w:val="0D0D0D"/>
          <w:sz w:val="22"/>
          <w:szCs w:val="22"/>
        </w:rPr>
        <w:t>this</w:t>
      </w:r>
      <w:r w:rsidR="00EE5A3F">
        <w:rPr>
          <w:rFonts w:ascii="Aptos" w:hAnsi="Aptos" w:cs="Segoe UI"/>
          <w:color w:val="0D0D0D"/>
          <w:sz w:val="22"/>
          <w:szCs w:val="22"/>
        </w:rPr>
        <w:t xml:space="preserve"> should remain </w:t>
      </w:r>
      <w:r w:rsidR="0026331D">
        <w:rPr>
          <w:rFonts w:ascii="Aptos" w:hAnsi="Aptos" w:cs="Segoe UI"/>
          <w:color w:val="0D0D0D"/>
          <w:sz w:val="22"/>
          <w:szCs w:val="22"/>
        </w:rPr>
        <w:t>unchanged</w:t>
      </w:r>
      <w:r w:rsidR="00EE5A3F">
        <w:rPr>
          <w:rFonts w:ascii="Aptos" w:hAnsi="Aptos" w:cs="Segoe UI"/>
          <w:color w:val="0D0D0D"/>
          <w:sz w:val="22"/>
          <w:szCs w:val="22"/>
        </w:rPr>
        <w:t>.</w:t>
      </w:r>
    </w:p>
    <w:p w14:paraId="7397C9C6" w14:textId="0BAADA5C" w:rsidR="00455CF2" w:rsidRDefault="00455CF2" w:rsidP="00125CC2">
      <w:pPr>
        <w:pStyle w:val="NormalWeb"/>
        <w:rPr>
          <w:rFonts w:ascii="Aptos" w:hAnsi="Aptos"/>
          <w:sz w:val="22"/>
          <w:szCs w:val="22"/>
        </w:rPr>
      </w:pPr>
      <w:r>
        <w:rPr>
          <w:rFonts w:ascii="Aptos" w:hAnsi="Aptos" w:cs="Segoe UI"/>
          <w:color w:val="0D0D0D"/>
          <w:sz w:val="22"/>
          <w:szCs w:val="22"/>
        </w:rPr>
        <w:t xml:space="preserve">Bills </w:t>
      </w:r>
      <w:r w:rsidR="009363AB">
        <w:rPr>
          <w:rFonts w:ascii="Aptos" w:hAnsi="Aptos" w:cs="Segoe UI"/>
          <w:color w:val="0D0D0D"/>
          <w:sz w:val="22"/>
          <w:szCs w:val="22"/>
        </w:rPr>
        <w:t>like this</w:t>
      </w:r>
      <w:r>
        <w:rPr>
          <w:rFonts w:ascii="Aptos" w:hAnsi="Aptos" w:cs="Segoe UI"/>
          <w:color w:val="0D0D0D"/>
          <w:sz w:val="22"/>
          <w:szCs w:val="22"/>
        </w:rPr>
        <w:t xml:space="preserve"> have been vetoed by Governor Hochul </w:t>
      </w:r>
      <w:r w:rsidR="00465CFD">
        <w:rPr>
          <w:rFonts w:ascii="Aptos" w:hAnsi="Aptos" w:cs="Segoe UI"/>
          <w:color w:val="0D0D0D"/>
          <w:sz w:val="22"/>
          <w:szCs w:val="22"/>
        </w:rPr>
        <w:t xml:space="preserve">for </w:t>
      </w:r>
      <w:r>
        <w:rPr>
          <w:rFonts w:ascii="Aptos" w:hAnsi="Aptos" w:cs="Segoe UI"/>
          <w:color w:val="0D0D0D"/>
          <w:sz w:val="22"/>
          <w:szCs w:val="22"/>
        </w:rPr>
        <w:t xml:space="preserve">the past 2 years. This year’s bill is slightly different than previous years in that it provides for an exemption for commercial agricultural activities, defined as </w:t>
      </w:r>
      <w:r w:rsidRPr="00455CF2">
        <w:rPr>
          <w:rFonts w:ascii="Aptos" w:hAnsi="Aptos"/>
          <w:sz w:val="22"/>
          <w:szCs w:val="22"/>
        </w:rPr>
        <w:t>invasive species, pests of significant public health importance, or noxious weeds; or for the protection of critical native plant species</w:t>
      </w:r>
      <w:r>
        <w:rPr>
          <w:rFonts w:ascii="Aptos" w:hAnsi="Aptos"/>
          <w:sz w:val="22"/>
          <w:szCs w:val="22"/>
        </w:rPr>
        <w:t xml:space="preserve">, however it does not exempt commercial horticultural activities. </w:t>
      </w:r>
    </w:p>
    <w:p w14:paraId="4A069A5D" w14:textId="67F9D8C1" w:rsidR="00F3160F" w:rsidRDefault="00F3160F" w:rsidP="00125CC2">
      <w:pPr>
        <w:pStyle w:val="NormalWeb"/>
        <w:rPr>
          <w:rFonts w:ascii="Aptos" w:hAnsi="Aptos"/>
          <w:sz w:val="22"/>
          <w:szCs w:val="22"/>
        </w:rPr>
      </w:pPr>
      <w:r>
        <w:rPr>
          <w:rFonts w:ascii="Aptos" w:hAnsi="Aptos"/>
          <w:sz w:val="22"/>
          <w:szCs w:val="22"/>
        </w:rPr>
        <w:t xml:space="preserve">In July, DEC announced </w:t>
      </w:r>
      <w:r w:rsidR="00BB3989">
        <w:rPr>
          <w:rFonts w:ascii="Aptos" w:hAnsi="Aptos"/>
          <w:sz w:val="22"/>
          <w:szCs w:val="22"/>
        </w:rPr>
        <w:t>proposed regulations on Freshwater Wetlands Maps and Classification</w:t>
      </w:r>
      <w:r w:rsidR="001413E2">
        <w:rPr>
          <w:rFonts w:ascii="Aptos" w:hAnsi="Aptos"/>
          <w:sz w:val="22"/>
          <w:szCs w:val="22"/>
        </w:rPr>
        <w:t xml:space="preserve"> relating to the implementation of the Freshwater Wetlands Act</w:t>
      </w:r>
      <w:r w:rsidR="003A7753">
        <w:rPr>
          <w:rFonts w:ascii="Aptos" w:hAnsi="Aptos"/>
          <w:sz w:val="22"/>
          <w:szCs w:val="22"/>
        </w:rPr>
        <w:t xml:space="preserve"> enacted in the 2022-2023 NYS Budget. The </w:t>
      </w:r>
      <w:r w:rsidR="000F4FAE">
        <w:rPr>
          <w:rFonts w:ascii="Aptos" w:hAnsi="Aptos"/>
          <w:sz w:val="22"/>
          <w:szCs w:val="22"/>
        </w:rPr>
        <w:t xml:space="preserve">proposed </w:t>
      </w:r>
      <w:r w:rsidR="00BD6881">
        <w:rPr>
          <w:rFonts w:ascii="Aptos" w:hAnsi="Aptos"/>
          <w:sz w:val="22"/>
          <w:szCs w:val="22"/>
        </w:rPr>
        <w:t>rule will</w:t>
      </w:r>
      <w:r w:rsidR="001413E2">
        <w:rPr>
          <w:rFonts w:ascii="Aptos" w:hAnsi="Aptos"/>
          <w:sz w:val="22"/>
          <w:szCs w:val="22"/>
        </w:rPr>
        <w:t xml:space="preserve"> take effect on January 1, 2025</w:t>
      </w:r>
      <w:r w:rsidR="00DC70CF">
        <w:rPr>
          <w:rFonts w:ascii="Aptos" w:hAnsi="Aptos"/>
          <w:sz w:val="22"/>
          <w:szCs w:val="22"/>
        </w:rPr>
        <w:t xml:space="preserve">. </w:t>
      </w:r>
      <w:r w:rsidR="001E61D6">
        <w:rPr>
          <w:rFonts w:ascii="Aptos" w:hAnsi="Aptos"/>
          <w:sz w:val="22"/>
          <w:szCs w:val="22"/>
        </w:rPr>
        <w:t>The regulations are open to public comment</w:t>
      </w:r>
      <w:r w:rsidR="0015704A">
        <w:rPr>
          <w:rFonts w:ascii="Aptos" w:hAnsi="Aptos"/>
          <w:sz w:val="22"/>
          <w:szCs w:val="22"/>
        </w:rPr>
        <w:t xml:space="preserve"> until September 19, 2024</w:t>
      </w:r>
      <w:r w:rsidR="001E61D6">
        <w:rPr>
          <w:rFonts w:ascii="Aptos" w:hAnsi="Aptos"/>
          <w:sz w:val="22"/>
          <w:szCs w:val="22"/>
        </w:rPr>
        <w:t xml:space="preserve"> and </w:t>
      </w:r>
      <w:hyperlink r:id="rId7" w:history="1">
        <w:r w:rsidR="001E61D6" w:rsidRPr="001E61D6">
          <w:rPr>
            <w:rStyle w:val="Hyperlink"/>
            <w:rFonts w:ascii="Aptos" w:hAnsi="Aptos"/>
            <w:sz w:val="22"/>
            <w:szCs w:val="22"/>
          </w:rPr>
          <w:t>public hearings will be hel</w:t>
        </w:r>
        <w:r w:rsidR="0015704A">
          <w:rPr>
            <w:rStyle w:val="Hyperlink"/>
            <w:rFonts w:ascii="Aptos" w:hAnsi="Aptos"/>
            <w:sz w:val="22"/>
            <w:szCs w:val="22"/>
          </w:rPr>
          <w:t>d</w:t>
        </w:r>
        <w:r w:rsidR="001E61D6" w:rsidRPr="001E61D6">
          <w:rPr>
            <w:rStyle w:val="Hyperlink"/>
            <w:rFonts w:ascii="Aptos" w:hAnsi="Aptos"/>
            <w:sz w:val="22"/>
            <w:szCs w:val="22"/>
          </w:rPr>
          <w:t xml:space="preserve"> in September</w:t>
        </w:r>
      </w:hyperlink>
      <w:r w:rsidR="001E61D6">
        <w:rPr>
          <w:rFonts w:ascii="Aptos" w:hAnsi="Aptos"/>
          <w:sz w:val="22"/>
          <w:szCs w:val="22"/>
        </w:rPr>
        <w:t>.  This is yet another reason that the Governor should veto this bill</w:t>
      </w:r>
      <w:r w:rsidR="007E1A4C">
        <w:rPr>
          <w:rFonts w:ascii="Aptos" w:hAnsi="Aptos"/>
          <w:sz w:val="22"/>
          <w:szCs w:val="22"/>
        </w:rPr>
        <w:t>, which should not be signed into law while DEC is undertaking a rulemaking process.</w:t>
      </w:r>
    </w:p>
    <w:p w14:paraId="66E30416" w14:textId="77777777" w:rsidR="00BB3989" w:rsidRPr="00BB3989" w:rsidRDefault="00BB3989" w:rsidP="00BB3989">
      <w:pPr>
        <w:pStyle w:val="NormalWeb"/>
        <w:rPr>
          <w:rFonts w:ascii="Aptos" w:hAnsi="Aptos"/>
          <w:b/>
          <w:bCs/>
        </w:rPr>
      </w:pPr>
      <w:r w:rsidRPr="00BB3989">
        <w:rPr>
          <w:rFonts w:ascii="Aptos" w:hAnsi="Aptos"/>
          <w:b/>
          <w:bCs/>
        </w:rPr>
        <w:t>Proposed Regulations Available for Public Comment</w:t>
      </w:r>
    </w:p>
    <w:p w14:paraId="2E20AB22" w14:textId="77777777" w:rsidR="00BB3989" w:rsidRPr="00BB3989" w:rsidRDefault="00BB3989" w:rsidP="00BB3989">
      <w:pPr>
        <w:pStyle w:val="NormalWeb"/>
        <w:numPr>
          <w:ilvl w:val="0"/>
          <w:numId w:val="3"/>
        </w:numPr>
        <w:rPr>
          <w:rFonts w:ascii="Aptos" w:hAnsi="Aptos"/>
        </w:rPr>
      </w:pPr>
      <w:hyperlink r:id="rId8" w:tooltip="Fish and Wildlife Regulatory Revisions" w:history="1">
        <w:r w:rsidRPr="00BB3989">
          <w:rPr>
            <w:rStyle w:val="Hyperlink"/>
            <w:rFonts w:ascii="Aptos" w:hAnsi="Aptos"/>
          </w:rPr>
          <w:t>6 NYCRR Part 664 - Freshwater Wetlands Jurisdiction and Classification</w:t>
        </w:r>
      </w:hyperlink>
      <w:r w:rsidRPr="00BB3989">
        <w:rPr>
          <w:rFonts w:ascii="Aptos" w:hAnsi="Aptos"/>
        </w:rPr>
        <w:t xml:space="preserve"> - The proposed </w:t>
      </w:r>
      <w:proofErr w:type="spellStart"/>
      <w:r w:rsidRPr="00BB3989">
        <w:rPr>
          <w:rFonts w:ascii="Aptos" w:hAnsi="Aptos"/>
        </w:rPr>
        <w:t>rule making</w:t>
      </w:r>
      <w:proofErr w:type="spellEnd"/>
      <w:r w:rsidRPr="00BB3989">
        <w:rPr>
          <w:rFonts w:ascii="Aptos" w:hAnsi="Aptos"/>
        </w:rPr>
        <w:t xml:space="preserve"> would amend 6 NYCRR Part 664, Freshwater Wetlands Maps and Classification regulations to implement amendments to the Freshwater Wetlands Act that take effect January 1, 2025. The rule making would define key terms, improve the freshwater wetland classification system, establish criteria </w:t>
      </w:r>
      <w:r w:rsidRPr="00BB3989">
        <w:rPr>
          <w:rFonts w:ascii="Aptos" w:hAnsi="Aptos"/>
        </w:rPr>
        <w:lastRenderedPageBreak/>
        <w:t>for the identification of Wetlands of Unusual Importance, and establish procedures related to jurisdictional determinations.  </w:t>
      </w:r>
      <w:r w:rsidRPr="00BB3989">
        <w:rPr>
          <w:rFonts w:ascii="Arial" w:hAnsi="Arial" w:cs="Arial"/>
        </w:rPr>
        <w:t> </w:t>
      </w:r>
      <w:r w:rsidRPr="00BB3989">
        <w:rPr>
          <w:rFonts w:ascii="Aptos" w:hAnsi="Aptos"/>
        </w:rPr>
        <w:t> </w:t>
      </w:r>
    </w:p>
    <w:p w14:paraId="3651F82A" w14:textId="77777777" w:rsidR="00BB3989" w:rsidRPr="00BB3989" w:rsidRDefault="00BB3989" w:rsidP="00BB3989">
      <w:pPr>
        <w:pStyle w:val="NormalWeb"/>
        <w:rPr>
          <w:rFonts w:ascii="Aptos" w:hAnsi="Aptos"/>
        </w:rPr>
      </w:pPr>
      <w:hyperlink r:id="rId9" w:history="1">
        <w:r w:rsidRPr="00BB3989">
          <w:rPr>
            <w:rStyle w:val="Hyperlink"/>
            <w:rFonts w:ascii="Aptos" w:hAnsi="Aptos"/>
          </w:rPr>
          <w:t>Fish and Wildlife Regulatory Revisions - NYSDEC</w:t>
        </w:r>
      </w:hyperlink>
    </w:p>
    <w:p w14:paraId="7BA611DD" w14:textId="735967B2" w:rsidR="00BB3989" w:rsidRPr="00BB3989" w:rsidRDefault="00BB3989" w:rsidP="00BB3989">
      <w:pPr>
        <w:pStyle w:val="NormalWeb"/>
        <w:rPr>
          <w:rFonts w:ascii="Aptos" w:hAnsi="Aptos"/>
        </w:rPr>
      </w:pPr>
      <w:r w:rsidRPr="00BB3989">
        <w:rPr>
          <w:rFonts w:ascii="Aptos" w:hAnsi="Aptos"/>
          <w:b/>
          <w:bCs/>
        </w:rPr>
        <w:t>Rulemaking Documents</w:t>
      </w:r>
      <w:r w:rsidRPr="00BB3989">
        <w:rPr>
          <w:rFonts w:ascii="Aptos" w:hAnsi="Aptos"/>
        </w:rPr>
        <w:t> </w:t>
      </w:r>
    </w:p>
    <w:p w14:paraId="2D0835D6" w14:textId="77777777" w:rsidR="00BB3989" w:rsidRPr="00BB3989" w:rsidRDefault="00BB3989" w:rsidP="00BB3989">
      <w:pPr>
        <w:pStyle w:val="NormalWeb"/>
        <w:numPr>
          <w:ilvl w:val="0"/>
          <w:numId w:val="4"/>
        </w:numPr>
        <w:rPr>
          <w:rFonts w:ascii="Aptos" w:hAnsi="Aptos"/>
        </w:rPr>
      </w:pPr>
      <w:hyperlink r:id="rId10" w:tooltip="Text of Proposed Freshwater Wetland Regulation Part 664" w:history="1">
        <w:r w:rsidRPr="00BB3989">
          <w:rPr>
            <w:rStyle w:val="Hyperlink"/>
            <w:rFonts w:ascii="Aptos" w:hAnsi="Aptos"/>
          </w:rPr>
          <w:t>Text of Proposed Regulation (PDF) </w:t>
        </w:r>
      </w:hyperlink>
    </w:p>
    <w:p w14:paraId="2F061CFF" w14:textId="77777777" w:rsidR="00BB3989" w:rsidRPr="00BB3989" w:rsidRDefault="00BB3989" w:rsidP="00BB3989">
      <w:pPr>
        <w:pStyle w:val="NormalWeb"/>
        <w:numPr>
          <w:ilvl w:val="0"/>
          <w:numId w:val="4"/>
        </w:numPr>
        <w:rPr>
          <w:rFonts w:ascii="Aptos" w:hAnsi="Aptos"/>
        </w:rPr>
      </w:pPr>
      <w:hyperlink r:id="rId11" w:tooltip="Regulatory Impact Statement Wetlands Part 664 6.17.24" w:history="1">
        <w:r w:rsidRPr="00BB3989">
          <w:rPr>
            <w:rStyle w:val="Hyperlink"/>
            <w:rFonts w:ascii="Aptos" w:hAnsi="Aptos"/>
          </w:rPr>
          <w:t>Regulatory Impact Statement (PDF)</w:t>
        </w:r>
      </w:hyperlink>
      <w:r w:rsidRPr="00BB3989">
        <w:rPr>
          <w:rFonts w:ascii="Aptos" w:hAnsi="Aptos"/>
        </w:rPr>
        <w:t> - provides background and additional information. </w:t>
      </w:r>
    </w:p>
    <w:p w14:paraId="18933CB4" w14:textId="77777777" w:rsidR="00BB3989" w:rsidRPr="00BB3989" w:rsidRDefault="00BB3989" w:rsidP="00BB3989">
      <w:pPr>
        <w:pStyle w:val="NormalWeb"/>
        <w:numPr>
          <w:ilvl w:val="0"/>
          <w:numId w:val="4"/>
        </w:numPr>
        <w:rPr>
          <w:rFonts w:ascii="Aptos" w:hAnsi="Aptos"/>
        </w:rPr>
      </w:pPr>
      <w:r w:rsidRPr="00BB3989">
        <w:rPr>
          <w:rFonts w:ascii="Aptos" w:hAnsi="Aptos"/>
        </w:rPr>
        <w:t>Supporting Documents (PDF) - </w:t>
      </w:r>
      <w:hyperlink r:id="rId12" w:tooltip="Express Terms Summary Wetlands Part664 6.14.24" w:history="1">
        <w:r w:rsidRPr="00BB3989">
          <w:rPr>
            <w:rStyle w:val="Hyperlink"/>
            <w:rFonts w:ascii="Aptos" w:hAnsi="Aptos"/>
          </w:rPr>
          <w:t>Express Terms Summary</w:t>
        </w:r>
      </w:hyperlink>
      <w:r w:rsidRPr="00BB3989">
        <w:rPr>
          <w:rFonts w:ascii="Aptos" w:hAnsi="Aptos"/>
        </w:rPr>
        <w:t>, R</w:t>
      </w:r>
      <w:hyperlink r:id="rId13" w:tooltip="Regulatory Impact Statement Summary Wetlands Part 664 6.17.24" w:history="1">
        <w:r w:rsidRPr="00BB3989">
          <w:rPr>
            <w:rStyle w:val="Hyperlink"/>
            <w:rFonts w:ascii="Aptos" w:hAnsi="Aptos"/>
          </w:rPr>
          <w:t>egulatory Impact Statement Summary</w:t>
        </w:r>
      </w:hyperlink>
      <w:r w:rsidRPr="00BB3989">
        <w:rPr>
          <w:rFonts w:ascii="Aptos" w:hAnsi="Aptos"/>
        </w:rPr>
        <w:t>, </w:t>
      </w:r>
      <w:hyperlink r:id="rId14" w:tooltip="Regulatory Flexibility Analysis Wetlands Part 664 5.23.24" w:history="1">
        <w:r w:rsidRPr="00BB3989">
          <w:rPr>
            <w:rStyle w:val="Hyperlink"/>
            <w:rFonts w:ascii="Aptos" w:hAnsi="Aptos"/>
          </w:rPr>
          <w:t>Regulatory flexibility Analysis for Small Businesses and Local Governments</w:t>
        </w:r>
      </w:hyperlink>
      <w:r w:rsidRPr="00BB3989">
        <w:rPr>
          <w:rFonts w:ascii="Aptos" w:hAnsi="Aptos"/>
        </w:rPr>
        <w:t>, </w:t>
      </w:r>
      <w:hyperlink r:id="rId15" w:tooltip="Rural Area Flexibility Analysis Wetlands Part 664" w:history="1">
        <w:r w:rsidRPr="00BB3989">
          <w:rPr>
            <w:rStyle w:val="Hyperlink"/>
            <w:rFonts w:ascii="Aptos" w:hAnsi="Aptos"/>
          </w:rPr>
          <w:t>Rural Area Flexibility Analysis, and Job Impact Statement</w:t>
        </w:r>
      </w:hyperlink>
      <w:r w:rsidRPr="00BB3989">
        <w:rPr>
          <w:rFonts w:ascii="Aptos" w:hAnsi="Aptos"/>
        </w:rPr>
        <w:t>. </w:t>
      </w:r>
    </w:p>
    <w:p w14:paraId="638C859A" w14:textId="77777777" w:rsidR="00BB3989" w:rsidRPr="00BB3989" w:rsidRDefault="00BB3989" w:rsidP="00BB3989">
      <w:pPr>
        <w:pStyle w:val="NormalWeb"/>
        <w:numPr>
          <w:ilvl w:val="0"/>
          <w:numId w:val="4"/>
        </w:numPr>
        <w:rPr>
          <w:rFonts w:ascii="Aptos" w:hAnsi="Aptos"/>
        </w:rPr>
      </w:pPr>
      <w:r w:rsidRPr="00BB3989">
        <w:rPr>
          <w:rFonts w:ascii="Aptos" w:hAnsi="Aptos"/>
        </w:rPr>
        <w:t>For more information, </w:t>
      </w:r>
      <w:hyperlink r:id="rId16" w:tooltip="Questions and Answers on Amendments to the Freshwater Wetlands Act" w:history="1">
        <w:r w:rsidRPr="00BB3989">
          <w:rPr>
            <w:rStyle w:val="Hyperlink"/>
            <w:rFonts w:ascii="Aptos" w:hAnsi="Aptos"/>
          </w:rPr>
          <w:t>see our Q &amp; A Sheet</w:t>
        </w:r>
      </w:hyperlink>
      <w:r w:rsidRPr="00BB3989">
        <w:rPr>
          <w:rFonts w:ascii="Aptos" w:hAnsi="Aptos"/>
        </w:rPr>
        <w:t> </w:t>
      </w:r>
    </w:p>
    <w:p w14:paraId="5934BA71" w14:textId="12AA4B3B" w:rsidR="00470BB8" w:rsidRDefault="000C4286" w:rsidP="00470BB8">
      <w:pPr>
        <w:rPr>
          <w:rFonts w:eastAsia="Times New Roman"/>
          <w:color w:val="000000"/>
        </w:rPr>
      </w:pPr>
      <w:r>
        <w:rPr>
          <w:rFonts w:eastAsia="Times New Roman"/>
          <w:color w:val="000000"/>
        </w:rPr>
        <w:t xml:space="preserve">We will work with Governor Hochul’s Office to seek another </w:t>
      </w:r>
      <w:r w:rsidR="00EE5A3F">
        <w:rPr>
          <w:rFonts w:eastAsia="Times New Roman"/>
          <w:color w:val="000000"/>
        </w:rPr>
        <w:t>v</w:t>
      </w:r>
      <w:r>
        <w:rPr>
          <w:rFonts w:eastAsia="Times New Roman"/>
          <w:color w:val="000000"/>
        </w:rPr>
        <w:t>eto</w:t>
      </w:r>
      <w:r w:rsidR="00EE5A3F">
        <w:rPr>
          <w:rFonts w:eastAsia="Times New Roman"/>
          <w:color w:val="000000"/>
        </w:rPr>
        <w:t xml:space="preserve"> of this bill</w:t>
      </w:r>
      <w:r>
        <w:rPr>
          <w:rFonts w:eastAsia="Times New Roman"/>
          <w:color w:val="000000"/>
        </w:rPr>
        <w:t>.</w:t>
      </w:r>
      <w:r w:rsidR="00FC3BC3">
        <w:rPr>
          <w:rFonts w:eastAsia="Times New Roman"/>
          <w:color w:val="000000"/>
        </w:rPr>
        <w:t xml:space="preserve">  </w:t>
      </w:r>
      <w:proofErr w:type="spellStart"/>
      <w:r w:rsidR="00FC3BC3" w:rsidRPr="00137FD4">
        <w:rPr>
          <w:rFonts w:eastAsia="Times New Roman"/>
          <w:color w:val="000000"/>
        </w:rPr>
        <w:t>Worse case</w:t>
      </w:r>
      <w:proofErr w:type="spellEnd"/>
      <w:r w:rsidR="00FC3BC3" w:rsidRPr="00137FD4">
        <w:rPr>
          <w:rFonts w:eastAsia="Times New Roman"/>
          <w:color w:val="000000"/>
        </w:rPr>
        <w:t xml:space="preserve"> scenario, </w:t>
      </w:r>
      <w:r w:rsidR="00032424" w:rsidRPr="00137FD4">
        <w:rPr>
          <w:rFonts w:eastAsia="Times New Roman"/>
          <w:color w:val="000000"/>
        </w:rPr>
        <w:t xml:space="preserve">if she decides to sign the bill, </w:t>
      </w:r>
      <w:r w:rsidR="00FC3BC3" w:rsidRPr="00137FD4">
        <w:rPr>
          <w:rFonts w:eastAsia="Times New Roman"/>
          <w:color w:val="000000"/>
        </w:rPr>
        <w:t xml:space="preserve">we will ask for a Chapter Amendment next year to </w:t>
      </w:r>
      <w:r w:rsidR="00032424" w:rsidRPr="00137FD4">
        <w:rPr>
          <w:rFonts w:eastAsia="Times New Roman"/>
          <w:color w:val="000000"/>
        </w:rPr>
        <w:t>exempt commercial horticultural activities.</w:t>
      </w:r>
    </w:p>
    <w:p w14:paraId="13C22F94" w14:textId="77777777" w:rsidR="00093089" w:rsidRDefault="00093089" w:rsidP="00470BB8">
      <w:pPr>
        <w:rPr>
          <w:rFonts w:eastAsia="Times New Roman"/>
          <w:color w:val="000000"/>
        </w:rPr>
      </w:pPr>
    </w:p>
    <w:p w14:paraId="08B34A95" w14:textId="1753512D" w:rsidR="00093089" w:rsidRDefault="00032424" w:rsidP="0000270C">
      <w:r>
        <w:rPr>
          <w:rFonts w:eastAsia="Times New Roman"/>
          <w:color w:val="000000"/>
        </w:rPr>
        <w:t>E</w:t>
      </w:r>
      <w:r w:rsidR="00F548F6">
        <w:rPr>
          <w:rFonts w:eastAsia="Times New Roman"/>
          <w:color w:val="000000"/>
        </w:rPr>
        <w:t xml:space="preserve">ach year we </w:t>
      </w:r>
      <w:r w:rsidR="00FF0AA6">
        <w:rPr>
          <w:rFonts w:eastAsia="Times New Roman"/>
          <w:color w:val="000000"/>
        </w:rPr>
        <w:t xml:space="preserve">ask our supporters and industry partners to consider a donation to NYGIC to help with our efforts, and a donation to GREENPAC to allow us to </w:t>
      </w:r>
      <w:r w:rsidR="0000270C">
        <w:rPr>
          <w:rFonts w:eastAsia="Times New Roman"/>
          <w:color w:val="000000"/>
        </w:rPr>
        <w:t xml:space="preserve">support our legislative friends. </w:t>
      </w:r>
      <w:r w:rsidR="00093089">
        <w:t xml:space="preserve">As such, we would like to identify inexpensive in-district fundraisers for you to participate in over the summer. Thanks to the new </w:t>
      </w:r>
      <w:hyperlink r:id="rId17" w:history="1">
        <w:r w:rsidR="00093089" w:rsidRPr="000126BD">
          <w:rPr>
            <w:rStyle w:val="Hyperlink"/>
          </w:rPr>
          <w:t>Public Financing Program</w:t>
        </w:r>
      </w:hyperlink>
      <w:r w:rsidR="00093089">
        <w:t>, eligible candidates may be able to have contributions between $5 and $250 from constituents matched.  We can help you determine which candidates participate in the matching program and how you can leverage this opportunity.</w:t>
      </w:r>
    </w:p>
    <w:p w14:paraId="5A7BE1D8" w14:textId="6F12EE17" w:rsidR="00137FD4" w:rsidRDefault="00137FD4" w:rsidP="00470BB8">
      <w:pPr>
        <w:rPr>
          <w:rFonts w:eastAsia="Times New Roman"/>
          <w:color w:val="000000"/>
        </w:rPr>
      </w:pPr>
      <w:r>
        <w:rPr>
          <w:rFonts w:eastAsia="Times New Roman"/>
          <w:color w:val="000000"/>
        </w:rPr>
        <w:t>Todd H. Vandervort</w:t>
      </w:r>
      <w:r>
        <w:rPr>
          <w:rFonts w:eastAsia="Times New Roman"/>
          <w:color w:val="000000"/>
        </w:rPr>
        <w:br/>
        <w:t>President and CEO</w:t>
      </w:r>
      <w:r w:rsidR="00CE7CAA">
        <w:rPr>
          <w:rFonts w:eastAsia="Times New Roman"/>
          <w:color w:val="000000"/>
        </w:rPr>
        <w:br/>
      </w:r>
      <w:r>
        <w:rPr>
          <w:rFonts w:eastAsia="Times New Roman"/>
          <w:color w:val="000000"/>
        </w:rPr>
        <w:t>The Vandervort Group, LLC</w:t>
      </w:r>
    </w:p>
    <w:p w14:paraId="2CDE261F" w14:textId="77777777" w:rsidR="000C4286" w:rsidRDefault="000C4286" w:rsidP="00470BB8">
      <w:pPr>
        <w:rPr>
          <w:rFonts w:eastAsia="Times New Roman"/>
          <w:color w:val="000000"/>
        </w:rPr>
      </w:pPr>
    </w:p>
    <w:p w14:paraId="648EFD08" w14:textId="77777777" w:rsidR="00EE5A3F" w:rsidRDefault="00EE5A3F" w:rsidP="00470BB8">
      <w:pPr>
        <w:rPr>
          <w:rFonts w:eastAsia="Times New Roman"/>
          <w:color w:val="000000"/>
        </w:rPr>
      </w:pPr>
    </w:p>
    <w:p w14:paraId="7A32AB93" w14:textId="77777777" w:rsidR="00470BB8" w:rsidRPr="00470BB8" w:rsidRDefault="00470BB8" w:rsidP="00470BB8"/>
    <w:sectPr w:rsidR="00470BB8" w:rsidRPr="00470BB8" w:rsidSect="00CE1F9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7316"/>
    <w:multiLevelType w:val="multilevel"/>
    <w:tmpl w:val="C018D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4ED14F9"/>
    <w:multiLevelType w:val="hybridMultilevel"/>
    <w:tmpl w:val="836A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77DEB"/>
    <w:multiLevelType w:val="multilevel"/>
    <w:tmpl w:val="D9369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62AD9"/>
    <w:multiLevelType w:val="multilevel"/>
    <w:tmpl w:val="18723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32657473">
    <w:abstractNumId w:val="1"/>
  </w:num>
  <w:num w:numId="2" w16cid:durableId="569656037">
    <w:abstractNumId w:val="2"/>
  </w:num>
  <w:num w:numId="3" w16cid:durableId="106045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6121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B8"/>
    <w:rsid w:val="0000270C"/>
    <w:rsid w:val="0003134C"/>
    <w:rsid w:val="00032424"/>
    <w:rsid w:val="00093089"/>
    <w:rsid w:val="000C4286"/>
    <w:rsid w:val="000D0ADB"/>
    <w:rsid w:val="000F450B"/>
    <w:rsid w:val="000F4FAE"/>
    <w:rsid w:val="001033AB"/>
    <w:rsid w:val="00125CC2"/>
    <w:rsid w:val="001300E0"/>
    <w:rsid w:val="00137FD4"/>
    <w:rsid w:val="001413E2"/>
    <w:rsid w:val="0015704A"/>
    <w:rsid w:val="00171FC1"/>
    <w:rsid w:val="001A0947"/>
    <w:rsid w:val="001A6911"/>
    <w:rsid w:val="001B7B6D"/>
    <w:rsid w:val="001D4EAE"/>
    <w:rsid w:val="001D7ABE"/>
    <w:rsid w:val="001E61D6"/>
    <w:rsid w:val="002352C6"/>
    <w:rsid w:val="0026331D"/>
    <w:rsid w:val="00276724"/>
    <w:rsid w:val="002915A0"/>
    <w:rsid w:val="002B4B8A"/>
    <w:rsid w:val="002D0A6F"/>
    <w:rsid w:val="002E5394"/>
    <w:rsid w:val="002F2324"/>
    <w:rsid w:val="002F5E21"/>
    <w:rsid w:val="003044F3"/>
    <w:rsid w:val="0033024F"/>
    <w:rsid w:val="00361ACB"/>
    <w:rsid w:val="00364101"/>
    <w:rsid w:val="00381127"/>
    <w:rsid w:val="00387872"/>
    <w:rsid w:val="003A7753"/>
    <w:rsid w:val="003D116D"/>
    <w:rsid w:val="003E0BBE"/>
    <w:rsid w:val="003F6032"/>
    <w:rsid w:val="00436615"/>
    <w:rsid w:val="00451787"/>
    <w:rsid w:val="00452E65"/>
    <w:rsid w:val="00455CF2"/>
    <w:rsid w:val="00460206"/>
    <w:rsid w:val="00465CFD"/>
    <w:rsid w:val="00470BB8"/>
    <w:rsid w:val="00490100"/>
    <w:rsid w:val="004E1724"/>
    <w:rsid w:val="004F5645"/>
    <w:rsid w:val="0051738E"/>
    <w:rsid w:val="00576854"/>
    <w:rsid w:val="005A2842"/>
    <w:rsid w:val="005B3C0C"/>
    <w:rsid w:val="005C22E7"/>
    <w:rsid w:val="005C6046"/>
    <w:rsid w:val="005D4659"/>
    <w:rsid w:val="00652742"/>
    <w:rsid w:val="00654EF2"/>
    <w:rsid w:val="0065658A"/>
    <w:rsid w:val="006675B2"/>
    <w:rsid w:val="00676EAB"/>
    <w:rsid w:val="0068142B"/>
    <w:rsid w:val="0069307E"/>
    <w:rsid w:val="006B3D36"/>
    <w:rsid w:val="006D5583"/>
    <w:rsid w:val="006D6509"/>
    <w:rsid w:val="00700CB3"/>
    <w:rsid w:val="00735BCB"/>
    <w:rsid w:val="00766B7D"/>
    <w:rsid w:val="007B7339"/>
    <w:rsid w:val="007E1A4C"/>
    <w:rsid w:val="007F5992"/>
    <w:rsid w:val="00832BCA"/>
    <w:rsid w:val="008501BD"/>
    <w:rsid w:val="008A7493"/>
    <w:rsid w:val="008E3BFF"/>
    <w:rsid w:val="009363AB"/>
    <w:rsid w:val="00977A31"/>
    <w:rsid w:val="00981043"/>
    <w:rsid w:val="00982ACF"/>
    <w:rsid w:val="009934D4"/>
    <w:rsid w:val="00996EFA"/>
    <w:rsid w:val="009A144D"/>
    <w:rsid w:val="009A7638"/>
    <w:rsid w:val="009B73C9"/>
    <w:rsid w:val="009C1897"/>
    <w:rsid w:val="009D2F72"/>
    <w:rsid w:val="009D3B1A"/>
    <w:rsid w:val="009F529C"/>
    <w:rsid w:val="00A07433"/>
    <w:rsid w:val="00A43DE2"/>
    <w:rsid w:val="00A533DC"/>
    <w:rsid w:val="00A705EB"/>
    <w:rsid w:val="00AA0712"/>
    <w:rsid w:val="00AC24FD"/>
    <w:rsid w:val="00B00535"/>
    <w:rsid w:val="00B076C3"/>
    <w:rsid w:val="00B7609B"/>
    <w:rsid w:val="00BB3989"/>
    <w:rsid w:val="00BD6881"/>
    <w:rsid w:val="00C0430D"/>
    <w:rsid w:val="00C15BC9"/>
    <w:rsid w:val="00C426A7"/>
    <w:rsid w:val="00CA1986"/>
    <w:rsid w:val="00CD2925"/>
    <w:rsid w:val="00CE1F92"/>
    <w:rsid w:val="00CE37F0"/>
    <w:rsid w:val="00CE7CAA"/>
    <w:rsid w:val="00CF4E3E"/>
    <w:rsid w:val="00D24415"/>
    <w:rsid w:val="00D25E2A"/>
    <w:rsid w:val="00D51F18"/>
    <w:rsid w:val="00D77A6E"/>
    <w:rsid w:val="00D963F5"/>
    <w:rsid w:val="00DA2CEC"/>
    <w:rsid w:val="00DB7FEC"/>
    <w:rsid w:val="00DC70CF"/>
    <w:rsid w:val="00DD447A"/>
    <w:rsid w:val="00DD5DB0"/>
    <w:rsid w:val="00E06816"/>
    <w:rsid w:val="00EE362E"/>
    <w:rsid w:val="00EE4227"/>
    <w:rsid w:val="00EE5A3F"/>
    <w:rsid w:val="00EE72BE"/>
    <w:rsid w:val="00EF3272"/>
    <w:rsid w:val="00F120DB"/>
    <w:rsid w:val="00F3160F"/>
    <w:rsid w:val="00F42E84"/>
    <w:rsid w:val="00F548F6"/>
    <w:rsid w:val="00FC3BC3"/>
    <w:rsid w:val="00FF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CF24"/>
  <w15:chartTrackingRefBased/>
  <w15:docId w15:val="{DDBBC62D-2B89-419F-AFA4-093B1C2E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BB8"/>
    <w:rPr>
      <w:rFonts w:eastAsiaTheme="majorEastAsia" w:cstheme="majorBidi"/>
      <w:color w:val="272727" w:themeColor="text1" w:themeTint="D8"/>
    </w:rPr>
  </w:style>
  <w:style w:type="paragraph" w:styleId="Title">
    <w:name w:val="Title"/>
    <w:basedOn w:val="Normal"/>
    <w:next w:val="Normal"/>
    <w:link w:val="TitleChar"/>
    <w:uiPriority w:val="10"/>
    <w:qFormat/>
    <w:rsid w:val="00470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BB8"/>
    <w:pPr>
      <w:spacing w:before="160"/>
      <w:jc w:val="center"/>
    </w:pPr>
    <w:rPr>
      <w:i/>
      <w:iCs/>
      <w:color w:val="404040" w:themeColor="text1" w:themeTint="BF"/>
    </w:rPr>
  </w:style>
  <w:style w:type="character" w:customStyle="1" w:styleId="QuoteChar">
    <w:name w:val="Quote Char"/>
    <w:basedOn w:val="DefaultParagraphFont"/>
    <w:link w:val="Quote"/>
    <w:uiPriority w:val="29"/>
    <w:rsid w:val="00470BB8"/>
    <w:rPr>
      <w:i/>
      <w:iCs/>
      <w:color w:val="404040" w:themeColor="text1" w:themeTint="BF"/>
    </w:rPr>
  </w:style>
  <w:style w:type="paragraph" w:styleId="ListParagraph">
    <w:name w:val="List Paragraph"/>
    <w:basedOn w:val="Normal"/>
    <w:uiPriority w:val="34"/>
    <w:qFormat/>
    <w:rsid w:val="00470BB8"/>
    <w:pPr>
      <w:ind w:left="720"/>
      <w:contextualSpacing/>
    </w:pPr>
  </w:style>
  <w:style w:type="character" w:styleId="IntenseEmphasis">
    <w:name w:val="Intense Emphasis"/>
    <w:basedOn w:val="DefaultParagraphFont"/>
    <w:uiPriority w:val="21"/>
    <w:qFormat/>
    <w:rsid w:val="00470BB8"/>
    <w:rPr>
      <w:i/>
      <w:iCs/>
      <w:color w:val="0F4761" w:themeColor="accent1" w:themeShade="BF"/>
    </w:rPr>
  </w:style>
  <w:style w:type="paragraph" w:styleId="IntenseQuote">
    <w:name w:val="Intense Quote"/>
    <w:basedOn w:val="Normal"/>
    <w:next w:val="Normal"/>
    <w:link w:val="IntenseQuoteChar"/>
    <w:uiPriority w:val="30"/>
    <w:qFormat/>
    <w:rsid w:val="00470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BB8"/>
    <w:rPr>
      <w:i/>
      <w:iCs/>
      <w:color w:val="0F4761" w:themeColor="accent1" w:themeShade="BF"/>
    </w:rPr>
  </w:style>
  <w:style w:type="character" w:styleId="IntenseReference">
    <w:name w:val="Intense Reference"/>
    <w:basedOn w:val="DefaultParagraphFont"/>
    <w:uiPriority w:val="32"/>
    <w:qFormat/>
    <w:rsid w:val="00470BB8"/>
    <w:rPr>
      <w:b/>
      <w:bCs/>
      <w:smallCaps/>
      <w:color w:val="0F4761" w:themeColor="accent1" w:themeShade="BF"/>
      <w:spacing w:val="5"/>
    </w:rPr>
  </w:style>
  <w:style w:type="character" w:styleId="Hyperlink">
    <w:name w:val="Hyperlink"/>
    <w:basedOn w:val="DefaultParagraphFont"/>
    <w:uiPriority w:val="99"/>
    <w:unhideWhenUsed/>
    <w:rsid w:val="00470BB8"/>
    <w:rPr>
      <w:color w:val="0000FF"/>
      <w:u w:val="single"/>
    </w:rPr>
  </w:style>
  <w:style w:type="paragraph" w:styleId="HTMLPreformatted">
    <w:name w:val="HTML Preformatted"/>
    <w:basedOn w:val="Normal"/>
    <w:link w:val="HTMLPreformattedChar"/>
    <w:uiPriority w:val="99"/>
    <w:unhideWhenUsed/>
    <w:rsid w:val="00436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436615"/>
    <w:rPr>
      <w:rFonts w:ascii="Courier New" w:eastAsia="Times New Roman" w:hAnsi="Courier New" w:cs="Courier New"/>
      <w:kern w:val="0"/>
      <w:sz w:val="20"/>
      <w:szCs w:val="20"/>
      <w14:ligatures w14:val="none"/>
    </w:rPr>
  </w:style>
  <w:style w:type="paragraph" w:styleId="NormalWeb">
    <w:name w:val="Normal (Web)"/>
    <w:basedOn w:val="Normal"/>
    <w:uiPriority w:val="99"/>
    <w:unhideWhenUsed/>
    <w:rsid w:val="001A69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26331D"/>
    <w:rPr>
      <w:color w:val="96607D" w:themeColor="followedHyperlink"/>
      <w:u w:val="single"/>
    </w:rPr>
  </w:style>
  <w:style w:type="character" w:styleId="UnresolvedMention">
    <w:name w:val="Unresolved Mention"/>
    <w:basedOn w:val="DefaultParagraphFont"/>
    <w:uiPriority w:val="99"/>
    <w:semiHidden/>
    <w:unhideWhenUsed/>
    <w:rsid w:val="003F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4242">
      <w:bodyDiv w:val="1"/>
      <w:marLeft w:val="0"/>
      <w:marRight w:val="0"/>
      <w:marTop w:val="0"/>
      <w:marBottom w:val="0"/>
      <w:divBdr>
        <w:top w:val="none" w:sz="0" w:space="0" w:color="auto"/>
        <w:left w:val="none" w:sz="0" w:space="0" w:color="auto"/>
        <w:bottom w:val="none" w:sz="0" w:space="0" w:color="auto"/>
        <w:right w:val="none" w:sz="0" w:space="0" w:color="auto"/>
      </w:divBdr>
    </w:div>
    <w:div w:id="194932212">
      <w:bodyDiv w:val="1"/>
      <w:marLeft w:val="0"/>
      <w:marRight w:val="0"/>
      <w:marTop w:val="0"/>
      <w:marBottom w:val="0"/>
      <w:divBdr>
        <w:top w:val="none" w:sz="0" w:space="0" w:color="auto"/>
        <w:left w:val="none" w:sz="0" w:space="0" w:color="auto"/>
        <w:bottom w:val="none" w:sz="0" w:space="0" w:color="auto"/>
        <w:right w:val="none" w:sz="0" w:space="0" w:color="auto"/>
      </w:divBdr>
    </w:div>
    <w:div w:id="207302419">
      <w:bodyDiv w:val="1"/>
      <w:marLeft w:val="0"/>
      <w:marRight w:val="0"/>
      <w:marTop w:val="0"/>
      <w:marBottom w:val="0"/>
      <w:divBdr>
        <w:top w:val="none" w:sz="0" w:space="0" w:color="auto"/>
        <w:left w:val="none" w:sz="0" w:space="0" w:color="auto"/>
        <w:bottom w:val="none" w:sz="0" w:space="0" w:color="auto"/>
        <w:right w:val="none" w:sz="0" w:space="0" w:color="auto"/>
      </w:divBdr>
    </w:div>
    <w:div w:id="404301526">
      <w:bodyDiv w:val="1"/>
      <w:marLeft w:val="0"/>
      <w:marRight w:val="0"/>
      <w:marTop w:val="0"/>
      <w:marBottom w:val="0"/>
      <w:divBdr>
        <w:top w:val="none" w:sz="0" w:space="0" w:color="auto"/>
        <w:left w:val="none" w:sz="0" w:space="0" w:color="auto"/>
        <w:bottom w:val="none" w:sz="0" w:space="0" w:color="auto"/>
        <w:right w:val="none" w:sz="0" w:space="0" w:color="auto"/>
      </w:divBdr>
    </w:div>
    <w:div w:id="598683839">
      <w:bodyDiv w:val="1"/>
      <w:marLeft w:val="0"/>
      <w:marRight w:val="0"/>
      <w:marTop w:val="0"/>
      <w:marBottom w:val="0"/>
      <w:divBdr>
        <w:top w:val="none" w:sz="0" w:space="0" w:color="auto"/>
        <w:left w:val="none" w:sz="0" w:space="0" w:color="auto"/>
        <w:bottom w:val="none" w:sz="0" w:space="0" w:color="auto"/>
        <w:right w:val="none" w:sz="0" w:space="0" w:color="auto"/>
      </w:divBdr>
    </w:div>
    <w:div w:id="619384462">
      <w:bodyDiv w:val="1"/>
      <w:marLeft w:val="0"/>
      <w:marRight w:val="0"/>
      <w:marTop w:val="0"/>
      <w:marBottom w:val="0"/>
      <w:divBdr>
        <w:top w:val="none" w:sz="0" w:space="0" w:color="auto"/>
        <w:left w:val="none" w:sz="0" w:space="0" w:color="auto"/>
        <w:bottom w:val="none" w:sz="0" w:space="0" w:color="auto"/>
        <w:right w:val="none" w:sz="0" w:space="0" w:color="auto"/>
      </w:divBdr>
    </w:div>
    <w:div w:id="802230293">
      <w:bodyDiv w:val="1"/>
      <w:marLeft w:val="0"/>
      <w:marRight w:val="0"/>
      <w:marTop w:val="0"/>
      <w:marBottom w:val="0"/>
      <w:divBdr>
        <w:top w:val="none" w:sz="0" w:space="0" w:color="auto"/>
        <w:left w:val="none" w:sz="0" w:space="0" w:color="auto"/>
        <w:bottom w:val="none" w:sz="0" w:space="0" w:color="auto"/>
        <w:right w:val="none" w:sz="0" w:space="0" w:color="auto"/>
      </w:divBdr>
    </w:div>
    <w:div w:id="904871732">
      <w:bodyDiv w:val="1"/>
      <w:marLeft w:val="0"/>
      <w:marRight w:val="0"/>
      <w:marTop w:val="0"/>
      <w:marBottom w:val="0"/>
      <w:divBdr>
        <w:top w:val="none" w:sz="0" w:space="0" w:color="auto"/>
        <w:left w:val="none" w:sz="0" w:space="0" w:color="auto"/>
        <w:bottom w:val="none" w:sz="0" w:space="0" w:color="auto"/>
        <w:right w:val="none" w:sz="0" w:space="0" w:color="auto"/>
      </w:divBdr>
    </w:div>
    <w:div w:id="1286547713">
      <w:bodyDiv w:val="1"/>
      <w:marLeft w:val="0"/>
      <w:marRight w:val="0"/>
      <w:marTop w:val="0"/>
      <w:marBottom w:val="0"/>
      <w:divBdr>
        <w:top w:val="none" w:sz="0" w:space="0" w:color="auto"/>
        <w:left w:val="none" w:sz="0" w:space="0" w:color="auto"/>
        <w:bottom w:val="none" w:sz="0" w:space="0" w:color="auto"/>
        <w:right w:val="none" w:sz="0" w:space="0" w:color="auto"/>
      </w:divBdr>
    </w:div>
    <w:div w:id="1431703724">
      <w:bodyDiv w:val="1"/>
      <w:marLeft w:val="0"/>
      <w:marRight w:val="0"/>
      <w:marTop w:val="0"/>
      <w:marBottom w:val="0"/>
      <w:divBdr>
        <w:top w:val="none" w:sz="0" w:space="0" w:color="auto"/>
        <w:left w:val="none" w:sz="0" w:space="0" w:color="auto"/>
        <w:bottom w:val="none" w:sz="0" w:space="0" w:color="auto"/>
        <w:right w:val="none" w:sz="0" w:space="0" w:color="auto"/>
      </w:divBdr>
    </w:div>
    <w:div w:id="1638486081">
      <w:bodyDiv w:val="1"/>
      <w:marLeft w:val="0"/>
      <w:marRight w:val="0"/>
      <w:marTop w:val="0"/>
      <w:marBottom w:val="0"/>
      <w:divBdr>
        <w:top w:val="none" w:sz="0" w:space="0" w:color="auto"/>
        <w:left w:val="none" w:sz="0" w:space="0" w:color="auto"/>
        <w:bottom w:val="none" w:sz="0" w:space="0" w:color="auto"/>
        <w:right w:val="none" w:sz="0" w:space="0" w:color="auto"/>
      </w:divBdr>
    </w:div>
    <w:div w:id="1846095537">
      <w:bodyDiv w:val="1"/>
      <w:marLeft w:val="0"/>
      <w:marRight w:val="0"/>
      <w:marTop w:val="0"/>
      <w:marBottom w:val="0"/>
      <w:divBdr>
        <w:top w:val="none" w:sz="0" w:space="0" w:color="auto"/>
        <w:left w:val="none" w:sz="0" w:space="0" w:color="auto"/>
        <w:bottom w:val="none" w:sz="0" w:space="0" w:color="auto"/>
        <w:right w:val="none" w:sz="0" w:space="0" w:color="auto"/>
      </w:divBdr>
    </w:div>
    <w:div w:id="20103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ny.gov/regulatory/regulations/proposed-emergency-recently-adopted-regulations/fish-wildlife-revisions" TargetMode="External"/><Relationship Id="rId13" Type="http://schemas.openxmlformats.org/officeDocument/2006/relationships/hyperlink" Target="https://dec.ny.gov/sites/default/files/2024-07/wtlnd_ris_sum_pt664.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ny.gov/regulatory/regulations/proposed-emergency-recently-adopted-regulations/fish-wildlife-revisions" TargetMode="External"/><Relationship Id="rId12" Type="http://schemas.openxmlformats.org/officeDocument/2006/relationships/hyperlink" Target="https://dec.ny.gov/sites/default/files/2024-07/wetlands_et_sum_pt664.pdf" TargetMode="External"/><Relationship Id="rId17" Type="http://schemas.openxmlformats.org/officeDocument/2006/relationships/hyperlink" Target="https://pcfb.ny.gov/program-overview" TargetMode="External"/><Relationship Id="rId2" Type="http://schemas.openxmlformats.org/officeDocument/2006/relationships/styles" Target="styles.xml"/><Relationship Id="rId16" Type="http://schemas.openxmlformats.org/officeDocument/2006/relationships/hyperlink" Target="https://dec.ny.gov/sites/default/files/2024-07/644qna.pdf" TargetMode="External"/><Relationship Id="rId1" Type="http://schemas.openxmlformats.org/officeDocument/2006/relationships/numbering" Target="numbering.xml"/><Relationship Id="rId6" Type="http://schemas.openxmlformats.org/officeDocument/2006/relationships/hyperlink" Target="https://www.rit.edu/affiliate/nysp2i/sites/rit.edu.affiliate.nysp2i/files/docs/resources/Golf_Course_Sustainability_Handbook_0.pdf" TargetMode="External"/><Relationship Id="rId11" Type="http://schemas.openxmlformats.org/officeDocument/2006/relationships/hyperlink" Target="https://dec.ny.gov/sites/default/files/2024-07/wetlands_ris_pt664.pdf" TargetMode="External"/><Relationship Id="rId5" Type="http://schemas.openxmlformats.org/officeDocument/2006/relationships/image" Target="media/image1.png"/><Relationship Id="rId15" Type="http://schemas.openxmlformats.org/officeDocument/2006/relationships/hyperlink" Target="https://dec.ny.gov/sites/default/files/2024-07/wetlands_rafa_pt664.pdf" TargetMode="External"/><Relationship Id="rId10" Type="http://schemas.openxmlformats.org/officeDocument/2006/relationships/hyperlink" Target="https://dec.ny.gov/sites/default/files/2024-07/wetlands_et_pt66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ny.gov/regulatory/regulations/proposed-emergency-recently-adopted-regulations/fish-wildlife-revisions" TargetMode="External"/><Relationship Id="rId14" Type="http://schemas.openxmlformats.org/officeDocument/2006/relationships/hyperlink" Target="https://dec.ny.gov/sites/default/files/2024-07/wetlands_rfa_pt6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Vandervort</dc:creator>
  <cp:keywords/>
  <dc:description/>
  <cp:lastModifiedBy>Margaret Vandervort</cp:lastModifiedBy>
  <cp:revision>2</cp:revision>
  <cp:lastPrinted>2024-06-12T20:17:00Z</cp:lastPrinted>
  <dcterms:created xsi:type="dcterms:W3CDTF">2025-01-21T21:09:00Z</dcterms:created>
  <dcterms:modified xsi:type="dcterms:W3CDTF">2025-01-21T21:09:00Z</dcterms:modified>
</cp:coreProperties>
</file>